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D7D41">
      <w:pPr>
        <w:spacing w:line="55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耿马自治县勐简乡2024年度第六批次村庄建设用地</w:t>
      </w:r>
      <w:r>
        <w:rPr>
          <w:rFonts w:hint="default" w:ascii="Times New Roman" w:hAnsi="Times New Roman" w:eastAsia="方正小标宋_GBK" w:cs="Times New Roman"/>
          <w:sz w:val="44"/>
          <w:szCs w:val="44"/>
        </w:rPr>
        <w:t>征地补偿安置方案</w:t>
      </w:r>
    </w:p>
    <w:p w14:paraId="3B11159D">
      <w:pPr>
        <w:spacing w:line="550" w:lineRule="exact"/>
        <w:jc w:val="center"/>
        <w:rPr>
          <w:rFonts w:hint="default" w:ascii="Times New Roman" w:hAnsi="Times New Roman" w:eastAsia="方正仿宋_GBK" w:cs="Times New Roman"/>
          <w:sz w:val="32"/>
          <w:szCs w:val="20"/>
        </w:rPr>
      </w:pPr>
    </w:p>
    <w:p w14:paraId="1F580A4C">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20"/>
          <w:lang w:val="en-US" w:eastAsia="zh-CN"/>
        </w:rPr>
      </w:pPr>
      <w:r>
        <w:rPr>
          <w:rFonts w:hint="default" w:ascii="Times New Roman" w:hAnsi="Times New Roman" w:eastAsia="仿宋_GB2312" w:cs="Times New Roman"/>
          <w:sz w:val="32"/>
          <w:szCs w:val="32"/>
          <w:lang w:val="en-US" w:eastAsia="zh-CN"/>
        </w:rPr>
        <w:t>耿马自治县人民政府</w:t>
      </w:r>
      <w:r>
        <w:rPr>
          <w:rFonts w:hint="default" w:ascii="Times New Roman" w:hAnsi="Times New Roman" w:eastAsia="仿宋_GB2312" w:cs="Times New Roman"/>
          <w:sz w:val="32"/>
          <w:szCs w:val="20"/>
          <w:lang w:val="en-US" w:eastAsia="zh-CN"/>
        </w:rPr>
        <w:t>依据耿马自治县勐简乡2024年度第六批次村庄建设用地拟征收土地社会稳定风险评估结果，</w:t>
      </w:r>
      <w:r>
        <w:rPr>
          <w:rFonts w:hint="default" w:ascii="Times New Roman" w:hAnsi="Times New Roman" w:eastAsia="仿宋_GB2312" w:cs="Times New Roman"/>
          <w:color w:val="auto"/>
          <w:sz w:val="32"/>
          <w:szCs w:val="20"/>
          <w:lang w:val="en-US" w:eastAsia="zh-CN"/>
        </w:rPr>
        <w:t>结合土地现状调查结果</w:t>
      </w:r>
      <w:r>
        <w:rPr>
          <w:rFonts w:hint="default" w:ascii="Times New Roman" w:hAnsi="Times New Roman" w:eastAsia="仿宋_GB2312" w:cs="Times New Roman"/>
          <w:sz w:val="32"/>
          <w:szCs w:val="20"/>
          <w:lang w:val="en-US" w:eastAsia="zh-CN"/>
        </w:rPr>
        <w:t>，组织自然资源局、财政局、农业农村局、人力资源和社会保障局等相关部门拟定了本方案，具体内容如下：</w:t>
      </w:r>
    </w:p>
    <w:p w14:paraId="284842F8">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一、征收范围</w:t>
      </w:r>
    </w:p>
    <w:p w14:paraId="7E828031">
      <w:pPr>
        <w:keepNext w:val="0"/>
        <w:keepLines w:val="0"/>
        <w:pageBreakBefore w:val="0"/>
        <w:numPr>
          <w:ilvl w:val="0"/>
          <w:numId w:val="0"/>
        </w:numPr>
        <w:kinsoku/>
        <w:wordWrap/>
        <w:overflowPunct/>
        <w:topLinePunct w:val="0"/>
        <w:autoSpaceDE/>
        <w:autoSpaceDN/>
        <w:bidi w:val="0"/>
        <w:adjustRightInd/>
        <w:snapToGrid/>
        <w:spacing w:after="0" w:line="570" w:lineRule="exact"/>
        <w:ind w:leftChars="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sz w:val="32"/>
          <w:szCs w:val="20"/>
          <w:lang w:val="en-US" w:eastAsia="zh-CN"/>
        </w:rPr>
        <w:t xml:space="preserve">    </w:t>
      </w:r>
      <w:r>
        <w:rPr>
          <w:rFonts w:hint="default" w:ascii="Times New Roman" w:hAnsi="Times New Roman" w:eastAsia="仿宋_GB2312" w:cs="Times New Roman"/>
          <w:sz w:val="32"/>
          <w:szCs w:val="20"/>
          <w:lang w:val="en-US" w:eastAsia="zh-CN"/>
        </w:rPr>
        <w:t>耿马自治县勐简乡2024年度第六批次村庄建设用地拟征收土地位于</w:t>
      </w:r>
      <w:r>
        <w:rPr>
          <w:rFonts w:hint="default" w:ascii="Times New Roman" w:hAnsi="Times New Roman" w:eastAsia="仿宋_GB2312" w:cs="Times New Roman"/>
          <w:sz w:val="32"/>
          <w:szCs w:val="32"/>
          <w:highlight w:val="none"/>
          <w:lang w:val="en-US" w:eastAsia="zh-CN"/>
        </w:rPr>
        <w:t>耿马自治县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勐简乡</w:t>
      </w:r>
      <w:r>
        <w:rPr>
          <w:rFonts w:hint="default" w:ascii="Times New Roman" w:hAnsi="Times New Roman" w:eastAsia="仿宋_GB2312" w:cs="Times New Roman"/>
          <w:sz w:val="32"/>
          <w:szCs w:val="32"/>
          <w:lang w:val="en-US" w:eastAsia="zh-CN"/>
        </w:rPr>
        <w:t>班望村民委员会细油树村民小组</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四至范围</w:t>
      </w:r>
      <w:r>
        <w:rPr>
          <w:rFonts w:hint="default" w:ascii="Times New Roman" w:hAnsi="Times New Roman" w:eastAsia="仿宋_GB2312" w:cs="Times New Roman"/>
          <w:sz w:val="32"/>
          <w:szCs w:val="32"/>
          <w:highlight w:val="none"/>
          <w:lang w:val="en-US" w:eastAsia="zh-CN"/>
        </w:rPr>
        <w:t>以勘测定界图为准</w:t>
      </w:r>
      <w:r>
        <w:rPr>
          <w:rFonts w:hint="default" w:ascii="Times New Roman" w:hAnsi="Times New Roman" w:eastAsia="仿宋_GB2312" w:cs="Times New Roman"/>
          <w:sz w:val="32"/>
          <w:szCs w:val="32"/>
          <w:highlight w:val="none"/>
        </w:rPr>
        <w:t>。</w:t>
      </w:r>
    </w:p>
    <w:p w14:paraId="547E55D8">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二、土地现状</w:t>
      </w:r>
    </w:p>
    <w:p w14:paraId="5D535DA1">
      <w:pPr>
        <w:spacing w:line="55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20"/>
          <w:lang w:val="en-US" w:eastAsia="zh-CN"/>
        </w:rPr>
        <w:t>耿马自治县勐简乡2024年度第六批次村庄建设用地涉及</w:t>
      </w:r>
      <w:r>
        <w:rPr>
          <w:rFonts w:hint="default" w:ascii="Times New Roman" w:hAnsi="Times New Roman" w:eastAsia="仿宋_GB2312" w:cs="Times New Roman"/>
          <w:sz w:val="32"/>
          <w:szCs w:val="32"/>
          <w:highlight w:val="none"/>
          <w:lang w:val="en-US" w:eastAsia="zh-CN"/>
        </w:rPr>
        <w:t>耿马自治县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勐简乡</w:t>
      </w:r>
      <w:r>
        <w:rPr>
          <w:rFonts w:hint="default" w:ascii="Times New Roman" w:hAnsi="Times New Roman" w:eastAsia="仿宋_GB2312" w:cs="Times New Roman"/>
          <w:sz w:val="32"/>
          <w:szCs w:val="32"/>
          <w:lang w:val="en-US" w:eastAsia="zh-CN"/>
        </w:rPr>
        <w:t>班望村民委员会细油树村民小组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，共计1乡1个村民委员会1个村民小组的集体土地，</w:t>
      </w:r>
      <w:r>
        <w:rPr>
          <w:rFonts w:hint="default" w:ascii="Times New Roman" w:hAnsi="Times New Roman" w:eastAsia="仿宋_GB2312" w:cs="Times New Roman"/>
          <w:sz w:val="32"/>
          <w:szCs w:val="32"/>
          <w:highlight w:val="none"/>
          <w:lang w:val="en-US" w:eastAsia="zh-CN"/>
        </w:rPr>
        <w:t>申请用地面积</w:t>
      </w:r>
      <w:r>
        <w:rPr>
          <w:rFonts w:hint="default" w:ascii="Times New Roman" w:hAnsi="Times New Roman" w:eastAsia="仿宋_GB2312" w:cs="Times New Roman"/>
          <w:color w:val="auto"/>
          <w:sz w:val="32"/>
          <w:szCs w:val="32"/>
          <w:highlight w:val="none"/>
          <w:lang w:val="en-US" w:eastAsia="zh-CN"/>
        </w:rPr>
        <w:t>0.0831</w:t>
      </w:r>
      <w:r>
        <w:rPr>
          <w:rFonts w:hint="default" w:ascii="Times New Roman" w:hAnsi="Times New Roman" w:eastAsia="仿宋_GB2312" w:cs="Times New Roman"/>
          <w:color w:val="auto"/>
          <w:sz w:val="32"/>
          <w:szCs w:val="32"/>
          <w:highlight w:val="none"/>
          <w:lang w:val="zh-CN" w:eastAsia="zh-CN"/>
        </w:rPr>
        <w:t>公顷</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其中</w:t>
      </w:r>
      <w:r>
        <w:rPr>
          <w:rFonts w:hint="default" w:ascii="Times New Roman" w:hAnsi="Times New Roman" w:eastAsia="仿宋_GB2312" w:cs="Times New Roman"/>
          <w:sz w:val="32"/>
          <w:szCs w:val="32"/>
          <w:highlight w:val="none"/>
          <w:lang w:val="en-US" w:eastAsia="zh-CN"/>
        </w:rPr>
        <w:t>农用地0.0653公顷（园地0.0285公顷、林地0.0368公顷），建设用地0.0178公顷，不涉及未利用地。</w:t>
      </w:r>
      <w:r>
        <w:rPr>
          <w:rFonts w:hint="default" w:ascii="Times New Roman" w:hAnsi="Times New Roman" w:eastAsia="仿宋_GB2312" w:cs="Times New Roman"/>
          <w:sz w:val="32"/>
          <w:szCs w:val="20"/>
          <w:lang w:val="en-US" w:eastAsia="zh-CN"/>
        </w:rPr>
        <w:t>详见《耿马自治县勐简乡2024年度第六批次村庄建设用地拟征收土地现状调查报告》。</w:t>
      </w:r>
    </w:p>
    <w:p w14:paraId="687D80BA">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三、征收目的</w:t>
      </w:r>
    </w:p>
    <w:p w14:paraId="5C95BEED">
      <w:pPr>
        <w:spacing w:line="550" w:lineRule="exact"/>
        <w:ind w:firstLine="640" w:firstLineChars="200"/>
        <w:rPr>
          <w:rFonts w:hint="default" w:ascii="Times New Roman" w:hAnsi="Times New Roman" w:eastAsia="方正仿宋_GBK" w:cs="Times New Roman"/>
          <w:sz w:val="32"/>
          <w:szCs w:val="20"/>
          <w:lang w:val="en-US" w:eastAsia="zh-CN"/>
        </w:rPr>
      </w:pPr>
      <w:r>
        <w:rPr>
          <w:rFonts w:hint="default" w:ascii="Times New Roman" w:hAnsi="Times New Roman" w:eastAsia="仿宋_GB2312" w:cs="Times New Roman"/>
          <w:sz w:val="32"/>
          <w:szCs w:val="20"/>
          <w:lang w:val="en-US" w:eastAsia="zh-CN"/>
        </w:rPr>
        <w:t>本次拟征收土地拟用于耿马自治县勐简乡2024年度第六批次村庄建设用地，符合《中华人民共和国土地管理法》第四十五条中第（三）款由政府组织实施的科技、教育、文化、卫生、体育、生态环境和资源保护、防灾减灾、文物保护、社区综合服务、社会福利、市政公用、优抚安置、英烈保护等公共事业需要用地</w:t>
      </w:r>
      <w:r>
        <w:rPr>
          <w:rFonts w:hint="default" w:ascii="Times New Roman" w:hAnsi="Times New Roman" w:eastAsia="仿宋_GB2312" w:cs="Times New Roman"/>
          <w:sz w:val="32"/>
          <w:szCs w:val="20"/>
          <w:lang w:eastAsia="zh-CN"/>
        </w:rPr>
        <w:t>的</w:t>
      </w:r>
      <w:r>
        <w:rPr>
          <w:rFonts w:hint="default" w:ascii="Times New Roman" w:hAnsi="Times New Roman" w:eastAsia="仿宋_GB2312" w:cs="Times New Roman"/>
          <w:sz w:val="32"/>
          <w:szCs w:val="20"/>
        </w:rPr>
        <w:t>规定</w:t>
      </w:r>
      <w:r>
        <w:rPr>
          <w:rFonts w:hint="default" w:ascii="Times New Roman" w:hAnsi="Times New Roman" w:eastAsia="仿宋_GB2312" w:cs="Times New Roman"/>
          <w:sz w:val="32"/>
          <w:szCs w:val="20"/>
          <w:lang w:val="en-US" w:eastAsia="zh-CN"/>
        </w:rPr>
        <w:t>。</w:t>
      </w:r>
    </w:p>
    <w:p w14:paraId="65B3AD15">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四、补偿</w:t>
      </w:r>
      <w:r>
        <w:rPr>
          <w:rFonts w:hint="default" w:ascii="Times New Roman" w:hAnsi="Times New Roman" w:eastAsia="方正黑体_GBK" w:cs="Times New Roman"/>
          <w:sz w:val="32"/>
          <w:szCs w:val="20"/>
          <w:lang w:val="en-US" w:eastAsia="zh-CN"/>
        </w:rPr>
        <w:t>方式和</w:t>
      </w:r>
      <w:r>
        <w:rPr>
          <w:rFonts w:hint="default" w:ascii="Times New Roman" w:hAnsi="Times New Roman" w:eastAsia="方正黑体_GBK" w:cs="Times New Roman"/>
          <w:sz w:val="32"/>
          <w:szCs w:val="20"/>
        </w:rPr>
        <w:t>标准</w:t>
      </w:r>
    </w:p>
    <w:p w14:paraId="0F187EA2">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20"/>
          <w:lang w:val="en-US" w:eastAsia="zh-CN"/>
        </w:rPr>
        <w:t>耿马自治县勐简乡2024年度第六批次村庄建设用地</w:t>
      </w:r>
      <w:r>
        <w:rPr>
          <w:rFonts w:hint="default" w:ascii="Times New Roman" w:hAnsi="Times New Roman" w:eastAsia="仿宋_GB2312" w:cs="Times New Roman"/>
          <w:sz w:val="32"/>
          <w:szCs w:val="32"/>
          <w:highlight w:val="none"/>
          <w:lang w:val="en-US" w:eastAsia="zh-CN"/>
        </w:rPr>
        <w:t>征地补偿标准按《云南省自然资源厅关于公布实施2023年云南省征收农用地区片综合地价的通知》（云自然资〔2023〕169号）文件执行。该批次属于耿马自治县征收农用地地区综合地价Ⅰ片区，Ⅰ片区补偿标准分别为：园地60.7500万元/公顷、林地37.6650万元/公顷、建设用地91.1250万元/公顷。</w:t>
      </w:r>
    </w:p>
    <w:p w14:paraId="5D0751E0">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仿宋_GB2312" w:cs="Times New Roman"/>
          <w:sz w:val="32"/>
          <w:szCs w:val="20"/>
        </w:rPr>
        <w:t>该</w:t>
      </w:r>
      <w:r>
        <w:rPr>
          <w:rFonts w:hint="default" w:ascii="Times New Roman" w:hAnsi="Times New Roman" w:eastAsia="仿宋_GB2312" w:cs="Times New Roman"/>
          <w:sz w:val="32"/>
          <w:szCs w:val="20"/>
          <w:lang w:val="en-US" w:eastAsia="zh-CN"/>
        </w:rPr>
        <w:t>批次</w:t>
      </w:r>
      <w:r>
        <w:rPr>
          <w:rFonts w:hint="default" w:ascii="Times New Roman" w:hAnsi="Times New Roman" w:eastAsia="仿宋_GB2312" w:cs="Times New Roman"/>
          <w:sz w:val="32"/>
          <w:szCs w:val="20"/>
        </w:rPr>
        <w:t>不涉及征收农村村民住宅</w:t>
      </w:r>
      <w:r>
        <w:rPr>
          <w:rFonts w:hint="default" w:ascii="Times New Roman" w:hAnsi="Times New Roman" w:eastAsia="仿宋_GB2312" w:cs="Times New Roman"/>
          <w:sz w:val="32"/>
          <w:szCs w:val="20"/>
          <w:lang w:val="en-US" w:eastAsia="zh-CN"/>
        </w:rPr>
        <w:t>及青苗</w:t>
      </w:r>
      <w:r>
        <w:rPr>
          <w:rFonts w:hint="default" w:ascii="Times New Roman" w:hAnsi="Times New Roman" w:eastAsia="仿宋_GB2312" w:cs="Times New Roman"/>
          <w:sz w:val="32"/>
          <w:szCs w:val="20"/>
        </w:rPr>
        <w:t>，</w:t>
      </w:r>
      <w:r>
        <w:rPr>
          <w:rFonts w:hint="default" w:ascii="Times New Roman" w:hAnsi="Times New Roman" w:eastAsia="仿宋_GB2312" w:cs="Times New Roman"/>
          <w:sz w:val="32"/>
          <w:szCs w:val="20"/>
          <w:lang w:val="en-US" w:eastAsia="zh-CN"/>
        </w:rPr>
        <w:t>涉及征收</w:t>
      </w:r>
      <w:r>
        <w:rPr>
          <w:rFonts w:hint="default" w:ascii="Times New Roman" w:hAnsi="Times New Roman" w:eastAsia="仿宋_GB2312" w:cs="Times New Roman"/>
          <w:sz w:val="32"/>
          <w:szCs w:val="32"/>
          <w:highlight w:val="none"/>
          <w:lang w:val="en-US" w:eastAsia="zh-CN"/>
        </w:rPr>
        <w:t>其他地上附着物补偿费依据《临沧市人民政府办公室关于公布实施临沧市地上附着物和青苗补偿标准的通知》（临政办发〔2022〕82号）文件的规定执行。</w:t>
      </w:r>
      <w:r>
        <w:rPr>
          <w:rFonts w:hint="default" w:ascii="Times New Roman" w:hAnsi="Times New Roman" w:eastAsia="方正仿宋_GBK" w:cs="Times New Roman"/>
          <w:sz w:val="32"/>
          <w:szCs w:val="32"/>
          <w:highlight w:val="none"/>
          <w:lang w:val="en-US" w:eastAsia="zh-CN"/>
        </w:rPr>
        <w:t xml:space="preserve"> </w:t>
      </w:r>
    </w:p>
    <w:p w14:paraId="535CB39B">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黑体_GBK" w:cs="Times New Roman"/>
          <w:sz w:val="32"/>
          <w:szCs w:val="20"/>
          <w:lang w:val="en-US" w:eastAsia="zh-CN"/>
        </w:rPr>
      </w:pPr>
      <w:r>
        <w:rPr>
          <w:rFonts w:hint="default" w:ascii="Times New Roman" w:hAnsi="Times New Roman" w:eastAsia="方正黑体_GBK" w:cs="Times New Roman"/>
          <w:sz w:val="32"/>
          <w:szCs w:val="20"/>
          <w:lang w:val="en-US" w:eastAsia="zh-CN"/>
        </w:rPr>
        <w:t>五、安置对象</w:t>
      </w:r>
    </w:p>
    <w:p w14:paraId="063B8FF2">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仿宋_GB2312" w:cs="Times New Roman"/>
          <w:color w:val="auto"/>
          <w:sz w:val="32"/>
          <w:szCs w:val="32"/>
          <w:lang w:val="en-US" w:eastAsia="zh-CN"/>
        </w:rPr>
        <w:t>耿马自治县勐简乡2024年度第六批次村庄建设用地拟征地范围内未涉及被征地农民个人，无需安置农业人口。</w:t>
      </w:r>
      <w:r>
        <w:rPr>
          <w:rFonts w:hint="default" w:ascii="Times New Roman" w:hAnsi="Times New Roman" w:eastAsia="方正仿宋_GBK" w:cs="Times New Roman"/>
          <w:color w:val="FF0000"/>
          <w:sz w:val="32"/>
          <w:szCs w:val="32"/>
          <w:lang w:val="en-US" w:eastAsia="zh-CN"/>
        </w:rPr>
        <w:t xml:space="preserve"> </w:t>
      </w:r>
    </w:p>
    <w:p w14:paraId="252168E2">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黑体_GBK" w:cs="Times New Roman"/>
          <w:sz w:val="32"/>
          <w:szCs w:val="20"/>
          <w:lang w:val="en-US" w:eastAsia="zh-CN"/>
        </w:rPr>
      </w:pPr>
      <w:r>
        <w:rPr>
          <w:rFonts w:hint="default" w:ascii="Times New Roman" w:hAnsi="Times New Roman" w:eastAsia="方正黑体_GBK" w:cs="Times New Roman"/>
          <w:sz w:val="32"/>
          <w:szCs w:val="20"/>
          <w:lang w:val="en-US" w:eastAsia="zh-CN"/>
        </w:rPr>
        <w:t>六、安置方式</w:t>
      </w:r>
    </w:p>
    <w:p w14:paraId="178EB794">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本次拟征收土地采取货币补偿安置办法，妥善安排被征地农民的生产和生活，保障其生产和生活不受影响。</w:t>
      </w:r>
    </w:p>
    <w:p w14:paraId="4D7AE8C2">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黑体_GBK" w:cs="Times New Roman"/>
          <w:sz w:val="32"/>
          <w:szCs w:val="20"/>
          <w:lang w:val="en-US" w:eastAsia="zh-CN"/>
        </w:rPr>
      </w:pPr>
      <w:r>
        <w:rPr>
          <w:rFonts w:hint="default" w:ascii="Times New Roman" w:hAnsi="Times New Roman" w:eastAsia="方正黑体_GBK" w:cs="Times New Roman"/>
          <w:sz w:val="32"/>
          <w:szCs w:val="20"/>
          <w:lang w:val="en-US" w:eastAsia="zh-CN"/>
        </w:rPr>
        <w:t>七、社会保障</w:t>
      </w:r>
    </w:p>
    <w:p w14:paraId="38A1C104">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根据《劳动和社会保障部</w:t>
      </w:r>
      <w:r>
        <w:rPr>
          <w:rFonts w:hint="eastAsia" w:ascii="Times New Roman" w:hAnsi="Times New Roman" w:eastAsia="仿宋_GB2312" w:cs="Times New Roman"/>
          <w:sz w:val="32"/>
          <w:szCs w:val="32"/>
          <w:highlight w:val="none"/>
          <w:lang w:val="en-US" w:eastAsia="zh-CN"/>
        </w:rPr>
        <w:t xml:space="preserve">  </w:t>
      </w:r>
      <w:bookmarkStart w:id="2" w:name="_GoBack"/>
      <w:bookmarkEnd w:id="2"/>
      <w:r>
        <w:rPr>
          <w:rFonts w:hint="default" w:ascii="Times New Roman" w:hAnsi="Times New Roman" w:eastAsia="仿宋_GB2312" w:cs="Times New Roman"/>
          <w:sz w:val="32"/>
          <w:szCs w:val="32"/>
          <w:highlight w:val="none"/>
          <w:lang w:val="en-US" w:eastAsia="zh-CN"/>
        </w:rPr>
        <w:t>国土资源部关于切实做好被征地农民社会保障工作有关问题的通知》（劳社部发（2007）14号）、《云南省人民政府关于印发云南省被征地农民基本养老保障试行办法的通知》（云政发〔2008〕226号）和《临沧市被征地农民基本养老保障实施办法（试行）》（2009年临沧市人民政府第3号公告）等相关规定，耿马自治县勐简乡2024年度第六批次村庄建设用地采取以下社会保障措施：一是按《云南省自然资源厅关于公布实施2023年云南省征收农用地区片综合地价的通知》（云自然资〔2023〕169号）的征地补偿标准对集体土地进行补偿；二是按照耿马自治县Ⅰ区片每亩增收3万元的标准征收被征地农民基本养老保障专项资金，专项用于被征地农民基本养老保障。</w:t>
      </w:r>
    </w:p>
    <w:p w14:paraId="65DBBCA9">
      <w:pPr>
        <w:rPr>
          <w:rFonts w:hint="default" w:ascii="Times New Roman" w:hAnsi="Times New Roman" w:eastAsia="仿宋_GB2312" w:cs="Times New Roman"/>
          <w:b/>
          <w:bCs/>
        </w:rPr>
      </w:pPr>
    </w:p>
    <w:p w14:paraId="69796CFF">
      <w:pPr>
        <w:spacing w:line="550" w:lineRule="exact"/>
        <w:ind w:firstLine="640" w:firstLineChars="200"/>
        <w:jc w:val="center"/>
        <w:rPr>
          <w:rFonts w:hint="default" w:ascii="Times New Roman" w:hAnsi="Times New Roman" w:eastAsia="仿宋_GB2312" w:cs="Times New Roman"/>
          <w:sz w:val="32"/>
          <w:szCs w:val="20"/>
          <w:lang w:val="en-US" w:eastAsia="zh-CN"/>
        </w:rPr>
      </w:pPr>
      <w:r>
        <w:rPr>
          <w:rFonts w:hint="default" w:ascii="Times New Roman" w:hAnsi="Times New Roman" w:eastAsia="仿宋_GB2312" w:cs="Times New Roman"/>
          <w:sz w:val="32"/>
          <w:szCs w:val="20"/>
          <w:lang w:val="en-US" w:eastAsia="zh-CN"/>
        </w:rPr>
        <w:t xml:space="preserve">                     </w:t>
      </w:r>
    </w:p>
    <w:p w14:paraId="11A3DD9A">
      <w:pPr>
        <w:spacing w:line="550" w:lineRule="exact"/>
        <w:ind w:firstLine="640" w:firstLineChars="200"/>
        <w:jc w:val="center"/>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lang w:val="en-US" w:eastAsia="zh-CN"/>
        </w:rPr>
        <w:t xml:space="preserve">                     耿马傣族佤族自治县</w:t>
      </w:r>
      <w:r>
        <w:rPr>
          <w:rFonts w:hint="default" w:ascii="Times New Roman" w:hAnsi="Times New Roman" w:eastAsia="仿宋_GB2312" w:cs="Times New Roman"/>
          <w:sz w:val="32"/>
          <w:szCs w:val="20"/>
        </w:rPr>
        <w:t>人民政府</w:t>
      </w:r>
    </w:p>
    <w:p w14:paraId="06084D99">
      <w:pPr>
        <w:spacing w:line="55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仿宋_GB2312" w:cs="Times New Roman"/>
          <w:sz w:val="32"/>
          <w:szCs w:val="20"/>
        </w:rPr>
        <w:t xml:space="preserve">                                </w:t>
      </w:r>
      <w:r>
        <w:rPr>
          <w:rFonts w:hint="default" w:ascii="Times New Roman" w:hAnsi="Times New Roman" w:eastAsia="仿宋_GB2312" w:cs="Times New Roman"/>
          <w:sz w:val="32"/>
          <w:szCs w:val="20"/>
          <w:lang w:val="en-US" w:eastAsia="zh-CN"/>
        </w:rPr>
        <w:t>2024</w:t>
      </w:r>
      <w:r>
        <w:rPr>
          <w:rFonts w:hint="default" w:ascii="Times New Roman" w:hAnsi="Times New Roman" w:eastAsia="仿宋_GB2312" w:cs="Times New Roman"/>
          <w:sz w:val="32"/>
          <w:szCs w:val="20"/>
        </w:rPr>
        <w:t>年</w:t>
      </w:r>
      <w:r>
        <w:rPr>
          <w:rFonts w:hint="default" w:ascii="Times New Roman" w:hAnsi="Times New Roman" w:eastAsia="仿宋_GB2312" w:cs="Times New Roman"/>
          <w:sz w:val="32"/>
          <w:szCs w:val="20"/>
          <w:lang w:val="en-US" w:eastAsia="zh-CN"/>
        </w:rPr>
        <w:t>9</w:t>
      </w:r>
      <w:r>
        <w:rPr>
          <w:rFonts w:hint="default" w:ascii="Times New Roman" w:hAnsi="Times New Roman" w:eastAsia="仿宋_GB2312" w:cs="Times New Roman"/>
          <w:sz w:val="32"/>
          <w:szCs w:val="20"/>
        </w:rPr>
        <w:t>月</w:t>
      </w:r>
      <w:r>
        <w:rPr>
          <w:rFonts w:hint="default" w:ascii="Times New Roman" w:hAnsi="Times New Roman" w:eastAsia="仿宋_GB2312" w:cs="Times New Roman"/>
          <w:sz w:val="32"/>
          <w:szCs w:val="20"/>
          <w:lang w:val="en-US" w:eastAsia="zh-CN"/>
        </w:rPr>
        <w:t>30</w:t>
      </w:r>
      <w:r>
        <w:rPr>
          <w:rFonts w:hint="default" w:ascii="Times New Roman" w:hAnsi="Times New Roman" w:eastAsia="仿宋_GB2312" w:cs="Times New Roman"/>
          <w:sz w:val="32"/>
          <w:szCs w:val="20"/>
        </w:rPr>
        <w:t>日</w:t>
      </w:r>
    </w:p>
    <w:p w14:paraId="0298A46D">
      <w:pPr>
        <w:spacing w:line="640" w:lineRule="exact"/>
        <w:jc w:val="center"/>
        <w:rPr>
          <w:rFonts w:hint="default" w:ascii="Times New Roman" w:hAnsi="Times New Roman" w:eastAsia="方正小标宋_GBK" w:cs="Times New Roman"/>
          <w:sz w:val="44"/>
          <w:szCs w:val="44"/>
        </w:rPr>
      </w:pPr>
    </w:p>
    <w:p w14:paraId="5514B75D">
      <w:pPr>
        <w:pStyle w:val="2"/>
        <w:rPr>
          <w:rFonts w:hint="default" w:ascii="Times New Roman" w:hAnsi="Times New Roman" w:eastAsia="方正小标宋_GBK" w:cs="Times New Roman"/>
          <w:sz w:val="44"/>
          <w:szCs w:val="44"/>
        </w:rPr>
      </w:pPr>
    </w:p>
    <w:p w14:paraId="73BB7ED0">
      <w:pPr>
        <w:rPr>
          <w:rFonts w:hint="default" w:ascii="Times New Roman" w:hAnsi="Times New Roman" w:eastAsia="方正小标宋_GBK" w:cs="Times New Roman"/>
          <w:sz w:val="44"/>
          <w:szCs w:val="44"/>
        </w:rPr>
      </w:pPr>
    </w:p>
    <w:p w14:paraId="110BDF8C">
      <w:pPr>
        <w:pStyle w:val="2"/>
        <w:rPr>
          <w:rFonts w:hint="default" w:ascii="Times New Roman" w:hAnsi="Times New Roman" w:eastAsia="方正小标宋_GBK" w:cs="Times New Roman"/>
          <w:sz w:val="44"/>
          <w:szCs w:val="44"/>
        </w:rPr>
      </w:pPr>
    </w:p>
    <w:p w14:paraId="62BD4E47">
      <w:pPr>
        <w:rPr>
          <w:rFonts w:hint="default" w:ascii="Times New Roman" w:hAnsi="Times New Roman" w:eastAsia="方正小标宋_GBK" w:cs="Times New Roman"/>
          <w:sz w:val="44"/>
          <w:szCs w:val="44"/>
        </w:rPr>
      </w:pPr>
    </w:p>
    <w:p w14:paraId="7855CA58">
      <w:pPr>
        <w:pStyle w:val="2"/>
        <w:rPr>
          <w:rFonts w:hint="default" w:ascii="Times New Roman" w:hAnsi="Times New Roman" w:eastAsia="方正小标宋_GBK" w:cs="Times New Roman"/>
          <w:sz w:val="44"/>
          <w:szCs w:val="44"/>
        </w:rPr>
      </w:pPr>
    </w:p>
    <w:p w14:paraId="28226B63">
      <w:pPr>
        <w:rPr>
          <w:rFonts w:hint="default" w:ascii="Times New Roman" w:hAnsi="Times New Roman" w:eastAsia="方正小标宋_GBK" w:cs="Times New Roman"/>
          <w:sz w:val="44"/>
          <w:szCs w:val="44"/>
        </w:rPr>
      </w:pPr>
    </w:p>
    <w:p w14:paraId="53D7E699">
      <w:pPr>
        <w:pStyle w:val="2"/>
        <w:rPr>
          <w:rFonts w:hint="default" w:ascii="Times New Roman" w:hAnsi="Times New Roman" w:eastAsia="方正小标宋_GBK" w:cs="Times New Roman"/>
          <w:sz w:val="44"/>
          <w:szCs w:val="44"/>
        </w:rPr>
      </w:pPr>
    </w:p>
    <w:p w14:paraId="07BC4553">
      <w:pPr>
        <w:rPr>
          <w:rFonts w:hint="default" w:ascii="Times New Roman" w:hAnsi="Times New Roman" w:eastAsia="方正小标宋_GBK" w:cs="Times New Roman"/>
          <w:sz w:val="44"/>
          <w:szCs w:val="44"/>
        </w:rPr>
      </w:pPr>
    </w:p>
    <w:p w14:paraId="36D07389">
      <w:pPr>
        <w:pStyle w:val="2"/>
        <w:rPr>
          <w:rFonts w:hint="default" w:ascii="Times New Roman" w:hAnsi="Times New Roman" w:eastAsia="方正小标宋_GBK" w:cs="Times New Roman"/>
          <w:sz w:val="44"/>
          <w:szCs w:val="44"/>
        </w:rPr>
      </w:pPr>
    </w:p>
    <w:p w14:paraId="0E026CC6">
      <w:pPr>
        <w:rPr>
          <w:rFonts w:hint="default" w:ascii="Times New Roman" w:hAnsi="Times New Roman" w:cs="Times New Roman"/>
        </w:rPr>
      </w:pPr>
    </w:p>
    <w:p w14:paraId="1F55E90C">
      <w:pPr>
        <w:spacing w:line="640" w:lineRule="exact"/>
        <w:jc w:val="center"/>
        <w:rPr>
          <w:rFonts w:hint="default" w:ascii="Times New Roman" w:hAnsi="Times New Roman" w:eastAsia="方正小标宋_GBK" w:cs="Times New Roman"/>
          <w:sz w:val="44"/>
          <w:szCs w:val="44"/>
        </w:rPr>
      </w:pPr>
    </w:p>
    <w:p w14:paraId="4FBBE874">
      <w:pPr>
        <w:spacing w:line="640" w:lineRule="exact"/>
        <w:jc w:val="center"/>
        <w:rPr>
          <w:rFonts w:hint="default" w:ascii="Times New Roman" w:hAnsi="Times New Roman" w:eastAsia="方正小标宋_GBK" w:cs="Times New Roman"/>
          <w:sz w:val="44"/>
          <w:szCs w:val="44"/>
        </w:rPr>
      </w:pPr>
    </w:p>
    <w:p w14:paraId="148AE264">
      <w:pPr>
        <w:spacing w:line="6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听 证 申 请 书</w:t>
      </w:r>
      <w:bookmarkStart w:id="0" w:name="OLE_LINK18"/>
      <w:r>
        <w:rPr>
          <w:rFonts w:hint="default" w:ascii="Times New Roman" w:hAnsi="Times New Roman" w:eastAsia="方正小标宋_GBK" w:cs="Times New Roman"/>
          <w:sz w:val="44"/>
          <w:szCs w:val="44"/>
        </w:rPr>
        <w:t>（样例）</w:t>
      </w:r>
      <w:bookmarkEnd w:id="0"/>
    </w:p>
    <w:p w14:paraId="08D78945">
      <w:pPr>
        <w:spacing w:line="550" w:lineRule="exact"/>
        <w:jc w:val="center"/>
        <w:rPr>
          <w:rFonts w:hint="default" w:ascii="Times New Roman" w:hAnsi="Times New Roman" w:eastAsia="方正仿宋_GBK" w:cs="Times New Roman"/>
          <w:sz w:val="32"/>
          <w:szCs w:val="20"/>
          <w:lang w:val="en-US" w:eastAsia="zh-CN"/>
        </w:rPr>
      </w:pPr>
    </w:p>
    <w:p w14:paraId="277D66EE">
      <w:pPr>
        <w:spacing w:line="550" w:lineRule="exact"/>
        <w:rPr>
          <w:rFonts w:hint="default" w:ascii="Times New Roman" w:hAnsi="Times New Roman" w:eastAsia="方正仿宋_GBK" w:cs="Times New Roman"/>
          <w:sz w:val="32"/>
          <w:szCs w:val="20"/>
          <w:lang w:eastAsia="zh-CN"/>
        </w:rPr>
      </w:pPr>
      <w:r>
        <w:rPr>
          <w:rFonts w:hint="default" w:ascii="Times New Roman" w:hAnsi="Times New Roman" w:eastAsia="方正仿宋_GBK" w:cs="Times New Roman"/>
          <w:sz w:val="32"/>
          <w:szCs w:val="20"/>
        </w:rPr>
        <w:t>**县（市、区）人民政府</w:t>
      </w:r>
      <w:r>
        <w:rPr>
          <w:rFonts w:hint="default" w:ascii="Times New Roman" w:hAnsi="Times New Roman" w:eastAsia="方正仿宋_GBK" w:cs="Times New Roman"/>
          <w:sz w:val="32"/>
          <w:szCs w:val="20"/>
          <w:lang w:eastAsia="zh-CN"/>
        </w:rPr>
        <w:t>：</w:t>
      </w:r>
    </w:p>
    <w:p w14:paraId="7358964E">
      <w:pPr>
        <w:spacing w:line="55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《**项目征地补偿安置公告》（</w:t>
      </w:r>
      <w:r>
        <w:rPr>
          <w:rFonts w:hint="default" w:ascii="Times New Roman" w:hAnsi="Times New Roman" w:eastAsia="方正仿宋_GBK" w:cs="Times New Roman"/>
          <w:sz w:val="32"/>
          <w:szCs w:val="20"/>
          <w:lang w:val="en-US" w:eastAsia="zh-CN"/>
        </w:rPr>
        <w:t>文号</w:t>
      </w:r>
      <w:r>
        <w:rPr>
          <w:rFonts w:hint="default" w:ascii="Times New Roman" w:hAnsi="Times New Roman" w:eastAsia="方正仿宋_GBK" w:cs="Times New Roman"/>
          <w:sz w:val="32"/>
          <w:szCs w:val="20"/>
        </w:rPr>
        <w:t>）于**年**月**日在**乡（镇）**村民委员会**村民小组内进行公告，经**村委会**村民小组召开村民代表会议（或被征地村民</w:t>
      </w:r>
      <w:r>
        <w:rPr>
          <w:rFonts w:hint="default" w:ascii="Times New Roman" w:hAnsi="Times New Roman" w:eastAsia="方正仿宋_GBK" w:cs="Times New Roman"/>
          <w:sz w:val="32"/>
          <w:szCs w:val="20"/>
          <w:lang w:val="en-US" w:eastAsia="zh-CN"/>
        </w:rPr>
        <w:t>会议</w:t>
      </w:r>
      <w:r>
        <w:rPr>
          <w:rFonts w:hint="default" w:ascii="Times New Roman" w:hAnsi="Times New Roman" w:eastAsia="方正仿宋_GBK" w:cs="Times New Roman"/>
          <w:sz w:val="32"/>
          <w:szCs w:val="20"/>
        </w:rPr>
        <w:t>），多数村民</w:t>
      </w:r>
      <w:r>
        <w:rPr>
          <w:rFonts w:hint="default" w:ascii="Times New Roman" w:hAnsi="Times New Roman" w:eastAsia="方正仿宋_GBK" w:cs="Times New Roman"/>
          <w:sz w:val="32"/>
          <w:szCs w:val="20"/>
          <w:lang w:val="en-US" w:eastAsia="zh-CN"/>
        </w:rPr>
        <w:t>代表</w:t>
      </w:r>
      <w:r>
        <w:rPr>
          <w:rFonts w:hint="default" w:ascii="Times New Roman" w:hAnsi="Times New Roman" w:eastAsia="方正仿宋_GBK" w:cs="Times New Roman"/>
          <w:sz w:val="32"/>
          <w:szCs w:val="20"/>
        </w:rPr>
        <w:t>（或被征地村民）对《**项目征地补偿安置方案》存在异议，特申请听证。</w:t>
      </w:r>
    </w:p>
    <w:p w14:paraId="76930909">
      <w:pPr>
        <w:spacing w:line="550" w:lineRule="exact"/>
        <w:ind w:firstLine="640" w:firstLineChars="200"/>
        <w:rPr>
          <w:rFonts w:hint="default" w:ascii="Times New Roman" w:hAnsi="Times New Roman" w:eastAsia="方正黑体_GBK" w:cs="Times New Roman"/>
          <w:sz w:val="32"/>
          <w:szCs w:val="20"/>
          <w:lang w:val="en-US" w:eastAsia="zh-CN"/>
        </w:rPr>
      </w:pPr>
      <w:r>
        <w:rPr>
          <w:rFonts w:hint="default" w:ascii="Times New Roman" w:hAnsi="Times New Roman" w:eastAsia="方正黑体_GBK" w:cs="Times New Roman"/>
          <w:sz w:val="32"/>
          <w:szCs w:val="20"/>
        </w:rPr>
        <w:t>一、申请听证事项</w:t>
      </w:r>
      <w:r>
        <w:rPr>
          <w:rFonts w:hint="default" w:ascii="Times New Roman" w:hAnsi="Times New Roman" w:eastAsia="方正黑体_GBK" w:cs="Times New Roman"/>
          <w:sz w:val="32"/>
          <w:szCs w:val="20"/>
          <w:lang w:val="en-US" w:eastAsia="zh-CN"/>
        </w:rPr>
        <w:t>(多选)</w:t>
      </w:r>
    </w:p>
    <w:tbl>
      <w:tblPr>
        <w:tblStyle w:val="9"/>
        <w:tblW w:w="8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6852"/>
        <w:gridCol w:w="1058"/>
      </w:tblGrid>
      <w:tr w14:paraId="27B2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1" w:type="dxa"/>
          </w:tcPr>
          <w:p w14:paraId="4CF01CAF">
            <w:pPr>
              <w:spacing w:line="560" w:lineRule="exact"/>
              <w:jc w:val="left"/>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1.</w:t>
            </w:r>
          </w:p>
        </w:tc>
        <w:tc>
          <w:tcPr>
            <w:tcW w:w="6852" w:type="dxa"/>
          </w:tcPr>
          <w:p w14:paraId="69712104">
            <w:pPr>
              <w:spacing w:line="560" w:lineRule="exact"/>
              <w:jc w:val="left"/>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对征地补偿范围进行听证。</w:t>
            </w:r>
          </w:p>
        </w:tc>
        <w:tc>
          <w:tcPr>
            <w:tcW w:w="1058" w:type="dxa"/>
          </w:tcPr>
          <w:p w14:paraId="7C47268B">
            <w:pPr>
              <w:spacing w:line="560" w:lineRule="exact"/>
              <w:jc w:val="center"/>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sym w:font="Wingdings 2" w:char="00A3"/>
            </w:r>
          </w:p>
        </w:tc>
      </w:tr>
      <w:tr w14:paraId="5CE6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Pr>
          <w:p w14:paraId="6ED9BBDB">
            <w:pPr>
              <w:spacing w:line="560" w:lineRule="exact"/>
              <w:jc w:val="left"/>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2</w:t>
            </w:r>
            <w:r>
              <w:rPr>
                <w:rFonts w:hint="default" w:ascii="Times New Roman" w:hAnsi="Times New Roman" w:eastAsia="方正仿宋_GBK" w:cs="Times New Roman"/>
                <w:bCs/>
                <w:sz w:val="32"/>
                <w:szCs w:val="32"/>
                <w:highlight w:val="none"/>
                <w:lang w:eastAsia="zh-CN"/>
              </w:rPr>
              <w:t>.</w:t>
            </w:r>
          </w:p>
        </w:tc>
        <w:tc>
          <w:tcPr>
            <w:tcW w:w="6852" w:type="dxa"/>
          </w:tcPr>
          <w:p w14:paraId="1BA03A71">
            <w:pPr>
              <w:spacing w:line="560" w:lineRule="exact"/>
              <w:jc w:val="left"/>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对征地补偿标准进行听证。</w:t>
            </w:r>
          </w:p>
        </w:tc>
        <w:tc>
          <w:tcPr>
            <w:tcW w:w="1058" w:type="dxa"/>
          </w:tcPr>
          <w:p w14:paraId="4FB78586">
            <w:pPr>
              <w:spacing w:line="560" w:lineRule="exact"/>
              <w:jc w:val="center"/>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lang w:val="en-US" w:eastAsia="zh-CN"/>
              </w:rPr>
              <w:sym w:font="Wingdings 2" w:char="00A3"/>
            </w:r>
          </w:p>
        </w:tc>
      </w:tr>
      <w:tr w14:paraId="477A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11" w:type="dxa"/>
          </w:tcPr>
          <w:p w14:paraId="79123B83">
            <w:pPr>
              <w:spacing w:line="560" w:lineRule="exact"/>
              <w:jc w:val="left"/>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3.</w:t>
            </w:r>
          </w:p>
        </w:tc>
        <w:tc>
          <w:tcPr>
            <w:tcW w:w="6852" w:type="dxa"/>
          </w:tcPr>
          <w:p w14:paraId="222B7F49">
            <w:pPr>
              <w:tabs>
                <w:tab w:val="left" w:pos="528"/>
              </w:tabs>
              <w:spacing w:line="560" w:lineRule="exact"/>
              <w:jc w:val="left"/>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对征地已履行的程序进行听证。</w:t>
            </w:r>
          </w:p>
        </w:tc>
        <w:tc>
          <w:tcPr>
            <w:tcW w:w="1058" w:type="dxa"/>
          </w:tcPr>
          <w:p w14:paraId="0A5AFE65">
            <w:pPr>
              <w:spacing w:line="560" w:lineRule="exact"/>
              <w:jc w:val="center"/>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lang w:val="en-US" w:eastAsia="zh-CN"/>
              </w:rPr>
              <w:sym w:font="Wingdings 2" w:char="00A3"/>
            </w:r>
          </w:p>
        </w:tc>
      </w:tr>
      <w:tr w14:paraId="303B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Pr>
          <w:p w14:paraId="0E241219">
            <w:pPr>
              <w:spacing w:line="560" w:lineRule="exact"/>
              <w:jc w:val="left"/>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4.</w:t>
            </w:r>
          </w:p>
        </w:tc>
        <w:tc>
          <w:tcPr>
            <w:tcW w:w="6852" w:type="dxa"/>
          </w:tcPr>
          <w:p w14:paraId="59B223A1">
            <w:pPr>
              <w:spacing w:line="560" w:lineRule="exact"/>
              <w:jc w:val="left"/>
              <w:rPr>
                <w:rFonts w:hint="default" w:ascii="Times New Roman" w:hAnsi="Times New Roman" w:eastAsia="方正仿宋_GBK" w:cs="Times New Roman"/>
                <w:bCs/>
                <w:sz w:val="32"/>
                <w:szCs w:val="32"/>
                <w:highlight w:val="none"/>
                <w:u w:val="single"/>
                <w:lang w:val="en-US" w:eastAsia="zh-CN"/>
              </w:rPr>
            </w:pPr>
            <w:r>
              <w:rPr>
                <w:rFonts w:hint="default" w:ascii="Times New Roman" w:hAnsi="Times New Roman" w:eastAsia="方正仿宋_GBK" w:cs="Times New Roman"/>
                <w:bCs/>
                <w:sz w:val="32"/>
                <w:szCs w:val="32"/>
                <w:highlight w:val="none"/>
                <w:lang w:val="en-US" w:eastAsia="zh-CN"/>
              </w:rPr>
              <w:t>其他事项:</w:t>
            </w:r>
            <w:r>
              <w:rPr>
                <w:rFonts w:hint="default" w:ascii="Times New Roman" w:hAnsi="Times New Roman" w:eastAsia="方正仿宋_GBK" w:cs="Times New Roman"/>
                <w:bCs/>
                <w:sz w:val="32"/>
                <w:szCs w:val="32"/>
                <w:highlight w:val="none"/>
                <w:u w:val="single"/>
                <w:lang w:val="en-US" w:eastAsia="zh-CN"/>
              </w:rPr>
              <w:t xml:space="preserve">                              </w:t>
            </w:r>
          </w:p>
        </w:tc>
        <w:tc>
          <w:tcPr>
            <w:tcW w:w="1058" w:type="dxa"/>
          </w:tcPr>
          <w:p w14:paraId="36764D23">
            <w:pPr>
              <w:tabs>
                <w:tab w:val="center" w:pos="421"/>
              </w:tabs>
              <w:spacing w:line="560" w:lineRule="exact"/>
              <w:jc w:val="center"/>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sym w:font="Wingdings 2" w:char="00A3"/>
            </w:r>
          </w:p>
        </w:tc>
      </w:tr>
    </w:tbl>
    <w:p w14:paraId="04DD5F9A">
      <w:pPr>
        <w:numPr>
          <w:ilvl w:val="0"/>
          <w:numId w:val="0"/>
        </w:numPr>
        <w:bidi w:val="0"/>
        <w:rPr>
          <w:rFonts w:hint="default" w:ascii="Times New Roman" w:hAnsi="Times New Roman" w:cs="Times New Roman"/>
        </w:rPr>
      </w:pPr>
    </w:p>
    <w:p w14:paraId="1EDBBFBC">
      <w:pPr>
        <w:spacing w:line="550" w:lineRule="exact"/>
        <w:ind w:firstLine="640" w:firstLineChars="200"/>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lang w:val="en-US" w:eastAsia="zh-CN"/>
        </w:rPr>
        <w:t>二、</w:t>
      </w:r>
      <w:r>
        <w:rPr>
          <w:rFonts w:hint="default" w:ascii="Times New Roman" w:hAnsi="Times New Roman" w:eastAsia="方正黑体_GBK" w:cs="Times New Roman"/>
          <w:sz w:val="32"/>
          <w:szCs w:val="20"/>
        </w:rPr>
        <w:t>申请听证的依据及理由</w:t>
      </w:r>
      <w:r>
        <w:rPr>
          <w:rFonts w:hint="default" w:ascii="Times New Roman" w:hAnsi="Times New Roman" w:eastAsia="方正黑体_GBK" w:cs="Times New Roman"/>
          <w:sz w:val="32"/>
          <w:szCs w:val="20"/>
          <w:lang w:eastAsia="zh-CN"/>
        </w:rPr>
        <w:t>（</w:t>
      </w:r>
      <w:r>
        <w:rPr>
          <w:rFonts w:hint="default" w:ascii="Times New Roman" w:hAnsi="Times New Roman" w:eastAsia="方正黑体_GBK" w:cs="Times New Roman"/>
          <w:sz w:val="32"/>
          <w:szCs w:val="20"/>
          <w:lang w:val="en-US" w:eastAsia="zh-CN"/>
        </w:rPr>
        <w:t>多选</w:t>
      </w:r>
      <w:r>
        <w:rPr>
          <w:rFonts w:hint="default" w:ascii="Times New Roman" w:hAnsi="Times New Roman" w:eastAsia="方正黑体_GBK" w:cs="Times New Roman"/>
          <w:sz w:val="32"/>
          <w:szCs w:val="20"/>
          <w:lang w:eastAsia="zh-CN"/>
        </w:rPr>
        <w:t>）</w:t>
      </w:r>
    </w:p>
    <w:tbl>
      <w:tblPr>
        <w:tblStyle w:val="9"/>
        <w:tblW w:w="8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6802"/>
        <w:gridCol w:w="1058"/>
      </w:tblGrid>
      <w:tr w14:paraId="6CDB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tcPr>
          <w:p w14:paraId="026A12F3">
            <w:pPr>
              <w:spacing w:line="560" w:lineRule="exact"/>
              <w:jc w:val="left"/>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1.</w:t>
            </w:r>
          </w:p>
        </w:tc>
        <w:tc>
          <w:tcPr>
            <w:tcW w:w="6802" w:type="dxa"/>
          </w:tcPr>
          <w:p w14:paraId="1CE925C3">
            <w:pPr>
              <w:numPr>
                <w:ilvl w:val="0"/>
                <w:numId w:val="0"/>
              </w:numPr>
              <w:spacing w:line="560" w:lineRule="exact"/>
              <w:jc w:val="left"/>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补偿范围不全面，缺少**费用的补偿。</w:t>
            </w:r>
          </w:p>
        </w:tc>
        <w:tc>
          <w:tcPr>
            <w:tcW w:w="1058" w:type="dxa"/>
          </w:tcPr>
          <w:p w14:paraId="6C967743">
            <w:pPr>
              <w:spacing w:line="560" w:lineRule="exact"/>
              <w:jc w:val="center"/>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sym w:font="Wingdings 2" w:char="00A3"/>
            </w:r>
          </w:p>
        </w:tc>
      </w:tr>
      <w:tr w14:paraId="4BF7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1" w:type="dxa"/>
          </w:tcPr>
          <w:p w14:paraId="7D6E318A">
            <w:pPr>
              <w:spacing w:line="560" w:lineRule="exact"/>
              <w:jc w:val="left"/>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2</w:t>
            </w:r>
            <w:r>
              <w:rPr>
                <w:rFonts w:hint="default" w:ascii="Times New Roman" w:hAnsi="Times New Roman" w:eastAsia="方正仿宋_GBK" w:cs="Times New Roman"/>
                <w:bCs/>
                <w:sz w:val="32"/>
                <w:szCs w:val="32"/>
                <w:highlight w:val="none"/>
                <w:lang w:eastAsia="zh-CN"/>
              </w:rPr>
              <w:t>.</w:t>
            </w:r>
          </w:p>
        </w:tc>
        <w:tc>
          <w:tcPr>
            <w:tcW w:w="6802" w:type="dxa"/>
          </w:tcPr>
          <w:p w14:paraId="61774F82">
            <w:pPr>
              <w:numPr>
                <w:ilvl w:val="0"/>
                <w:numId w:val="0"/>
              </w:numPr>
              <w:spacing w:line="560" w:lineRule="exact"/>
              <w:jc w:val="left"/>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补偿标准未达到国家或我省要求。</w:t>
            </w:r>
          </w:p>
        </w:tc>
        <w:tc>
          <w:tcPr>
            <w:tcW w:w="1058" w:type="dxa"/>
          </w:tcPr>
          <w:p w14:paraId="69AEDAA0">
            <w:pPr>
              <w:spacing w:line="560" w:lineRule="exact"/>
              <w:jc w:val="center"/>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lang w:val="en-US" w:eastAsia="zh-CN"/>
              </w:rPr>
              <w:sym w:font="Wingdings 2" w:char="00A3"/>
            </w:r>
          </w:p>
        </w:tc>
      </w:tr>
      <w:tr w14:paraId="715C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1" w:type="dxa"/>
          </w:tcPr>
          <w:p w14:paraId="01E55B0A">
            <w:pPr>
              <w:spacing w:line="560" w:lineRule="exact"/>
              <w:jc w:val="left"/>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3.</w:t>
            </w:r>
          </w:p>
        </w:tc>
        <w:tc>
          <w:tcPr>
            <w:tcW w:w="6802" w:type="dxa"/>
          </w:tcPr>
          <w:p w14:paraId="644F4316">
            <w:pPr>
              <w:numPr>
                <w:ilvl w:val="0"/>
                <w:numId w:val="0"/>
              </w:numPr>
              <w:spacing w:line="560" w:lineRule="exact"/>
              <w:jc w:val="left"/>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未按照相关法律法规履行程序。</w:t>
            </w:r>
          </w:p>
        </w:tc>
        <w:tc>
          <w:tcPr>
            <w:tcW w:w="1058" w:type="dxa"/>
          </w:tcPr>
          <w:p w14:paraId="7388E5A7">
            <w:pPr>
              <w:spacing w:line="560" w:lineRule="exact"/>
              <w:jc w:val="center"/>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lang w:val="en-US" w:eastAsia="zh-CN"/>
              </w:rPr>
              <w:sym w:font="Wingdings 2" w:char="00A3"/>
            </w:r>
          </w:p>
        </w:tc>
      </w:tr>
      <w:tr w14:paraId="2409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Pr>
          <w:p w14:paraId="35D828EA">
            <w:pPr>
              <w:spacing w:line="560" w:lineRule="exact"/>
              <w:jc w:val="left"/>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4.</w:t>
            </w:r>
          </w:p>
        </w:tc>
        <w:tc>
          <w:tcPr>
            <w:tcW w:w="6802" w:type="dxa"/>
          </w:tcPr>
          <w:p w14:paraId="46F84247">
            <w:pPr>
              <w:numPr>
                <w:ilvl w:val="0"/>
                <w:numId w:val="0"/>
              </w:numPr>
              <w:spacing w:line="560" w:lineRule="exact"/>
              <w:jc w:val="left"/>
              <w:rPr>
                <w:rFonts w:hint="default" w:ascii="Times New Roman" w:hAnsi="Times New Roman" w:eastAsia="方正仿宋_GBK" w:cs="Times New Roman"/>
                <w:bCs/>
                <w:sz w:val="32"/>
                <w:szCs w:val="32"/>
                <w:highlight w:val="none"/>
                <w:u w:val="single"/>
                <w:lang w:val="en-US" w:eastAsia="zh-CN"/>
              </w:rPr>
            </w:pPr>
            <w:r>
              <w:rPr>
                <w:rFonts w:hint="default" w:ascii="Times New Roman" w:hAnsi="Times New Roman" w:eastAsia="方正仿宋_GBK" w:cs="Times New Roman"/>
                <w:bCs/>
                <w:sz w:val="32"/>
                <w:szCs w:val="32"/>
                <w:highlight w:val="none"/>
                <w:lang w:val="en-US" w:eastAsia="zh-CN"/>
              </w:rPr>
              <w:t>其他:</w:t>
            </w:r>
            <w:r>
              <w:rPr>
                <w:rFonts w:hint="default" w:ascii="Times New Roman" w:hAnsi="Times New Roman" w:eastAsia="方正仿宋_GBK" w:cs="Times New Roman"/>
                <w:bCs/>
                <w:sz w:val="32"/>
                <w:szCs w:val="32"/>
                <w:highlight w:val="none"/>
                <w:u w:val="single"/>
                <w:lang w:val="en-US" w:eastAsia="zh-CN"/>
              </w:rPr>
              <w:t xml:space="preserve">                                </w:t>
            </w:r>
          </w:p>
        </w:tc>
        <w:tc>
          <w:tcPr>
            <w:tcW w:w="1058" w:type="dxa"/>
          </w:tcPr>
          <w:p w14:paraId="50A44A38">
            <w:pPr>
              <w:spacing w:line="560" w:lineRule="exact"/>
              <w:jc w:val="center"/>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sym w:font="Wingdings 2" w:char="00A3"/>
            </w:r>
          </w:p>
        </w:tc>
      </w:tr>
    </w:tbl>
    <w:p w14:paraId="6680C9E7">
      <w:pPr>
        <w:numPr>
          <w:ilvl w:val="0"/>
          <w:numId w:val="0"/>
        </w:numPr>
        <w:spacing w:line="560" w:lineRule="exact"/>
        <w:jc w:val="left"/>
        <w:rPr>
          <w:rFonts w:hint="default" w:ascii="Times New Roman" w:hAnsi="Times New Roman" w:eastAsia="黑体" w:cs="Times New Roman"/>
          <w:bCs/>
          <w:sz w:val="32"/>
          <w:szCs w:val="32"/>
          <w:highlight w:val="none"/>
        </w:rPr>
      </w:pPr>
    </w:p>
    <w:p w14:paraId="37337D5F">
      <w:pPr>
        <w:spacing w:line="55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申 请 人：</w:t>
      </w:r>
    </w:p>
    <w:p w14:paraId="15605C59">
      <w:pPr>
        <w:spacing w:line="55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地    址：</w:t>
      </w:r>
    </w:p>
    <w:p w14:paraId="0A88C631">
      <w:pPr>
        <w:spacing w:line="55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联系方式：</w:t>
      </w:r>
    </w:p>
    <w:p w14:paraId="52925B35">
      <w:pPr>
        <w:spacing w:line="55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申请时间：**年**月**日</w:t>
      </w:r>
    </w:p>
    <w:p w14:paraId="24BC8BB4">
      <w:pPr>
        <w:pStyle w:val="2"/>
        <w:rPr>
          <w:rFonts w:hint="default" w:ascii="Times New Roman" w:hAnsi="Times New Roman" w:cs="Times New Roman"/>
        </w:rPr>
      </w:pPr>
    </w:p>
    <w:p w14:paraId="48F6B20A">
      <w:pPr>
        <w:spacing w:line="600" w:lineRule="exact"/>
        <w:jc w:val="center"/>
        <w:rPr>
          <w:rFonts w:hint="default" w:ascii="Times New Roman" w:hAnsi="Times New Roman" w:eastAsia="方正小标宋_GBK" w:cs="Times New Roman"/>
          <w:bCs/>
          <w:sz w:val="44"/>
          <w:szCs w:val="44"/>
          <w:lang w:val="en-US" w:eastAsia="zh-CN"/>
        </w:rPr>
      </w:pPr>
      <w:bookmarkStart w:id="1" w:name="_Hlk37842709"/>
      <w:r>
        <w:rPr>
          <w:rFonts w:hint="default" w:ascii="Times New Roman" w:hAnsi="Times New Roman" w:eastAsia="方正小标宋_GBK" w:cs="Times New Roman"/>
          <w:bCs/>
          <w:sz w:val="44"/>
          <w:szCs w:val="44"/>
          <w:lang w:eastAsia="zh-CN"/>
        </w:rPr>
        <w:t>耿马自治县勐简乡2024年度第六批次村庄建设用地</w:t>
      </w:r>
      <w:r>
        <w:rPr>
          <w:rFonts w:hint="default" w:ascii="Times New Roman" w:hAnsi="Times New Roman" w:eastAsia="方正小标宋_GBK" w:cs="Times New Roman"/>
          <w:bCs/>
          <w:sz w:val="44"/>
          <w:szCs w:val="44"/>
        </w:rPr>
        <w:t>征地补偿安置方案</w:t>
      </w:r>
      <w:r>
        <w:rPr>
          <w:rFonts w:hint="default" w:ascii="Times New Roman" w:hAnsi="Times New Roman" w:eastAsia="方正小标宋_GBK" w:cs="Times New Roman"/>
          <w:bCs/>
          <w:sz w:val="44"/>
          <w:szCs w:val="44"/>
          <w:lang w:val="en-US" w:eastAsia="zh-CN"/>
        </w:rPr>
        <w:t xml:space="preserve">     </w:t>
      </w:r>
    </w:p>
    <w:p w14:paraId="6A68F321">
      <w:pPr>
        <w:spacing w:line="6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无需听证回执书</w:t>
      </w:r>
    </w:p>
    <w:p w14:paraId="1CF13E2F">
      <w:pPr>
        <w:spacing w:line="6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（样例）</w:t>
      </w:r>
    </w:p>
    <w:bookmarkEnd w:id="1"/>
    <w:p w14:paraId="6A01C99B">
      <w:pPr>
        <w:spacing w:line="280" w:lineRule="exact"/>
        <w:rPr>
          <w:rFonts w:hint="default" w:ascii="Times New Roman" w:hAnsi="Times New Roman" w:cs="Times New Roman"/>
          <w:sz w:val="18"/>
          <w:szCs w:val="18"/>
        </w:rPr>
      </w:pPr>
    </w:p>
    <w:p w14:paraId="4D709E85">
      <w:pPr>
        <w:spacing w:line="550" w:lineRule="exact"/>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val="en-US" w:eastAsia="zh-CN"/>
        </w:rPr>
        <w:t>耿马傣族佤族自治县</w:t>
      </w:r>
      <w:r>
        <w:rPr>
          <w:rFonts w:hint="default" w:ascii="Times New Roman" w:hAnsi="Times New Roman" w:eastAsia="方正仿宋_GBK" w:cs="Times New Roman"/>
          <w:sz w:val="32"/>
          <w:szCs w:val="20"/>
        </w:rPr>
        <w:t>人民政府：</w:t>
      </w:r>
    </w:p>
    <w:p w14:paraId="05AB7837">
      <w:pPr>
        <w:spacing w:line="55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《**项目征地补偿安置公告》（文号）</w:t>
      </w:r>
      <w:r>
        <w:rPr>
          <w:rFonts w:hint="default" w:ascii="Times New Roman" w:hAnsi="Times New Roman" w:eastAsia="方正仿宋_GBK" w:cs="Times New Roman"/>
          <w:sz w:val="32"/>
          <w:szCs w:val="20"/>
          <w:lang w:val="en-US" w:eastAsia="zh-CN"/>
        </w:rPr>
        <w:t>已</w:t>
      </w:r>
      <w:r>
        <w:rPr>
          <w:rFonts w:hint="default" w:ascii="Times New Roman" w:hAnsi="Times New Roman" w:eastAsia="方正仿宋_GBK" w:cs="Times New Roman"/>
          <w:sz w:val="32"/>
          <w:szCs w:val="20"/>
        </w:rPr>
        <w:t>收悉</w:t>
      </w:r>
      <w:r>
        <w:rPr>
          <w:rFonts w:hint="default" w:ascii="Times New Roman" w:hAnsi="Times New Roman" w:eastAsia="方正仿宋_GBK" w:cs="Times New Roman"/>
          <w:sz w:val="32"/>
          <w:szCs w:val="20"/>
          <w:lang w:val="en-US" w:eastAsia="zh-CN"/>
        </w:rPr>
        <w:t>并书面告知当事人</w:t>
      </w:r>
      <w:r>
        <w:rPr>
          <w:rFonts w:hint="default" w:ascii="Times New Roman" w:hAnsi="Times New Roman" w:eastAsia="方正仿宋_GBK" w:cs="Times New Roman"/>
          <w:sz w:val="32"/>
          <w:szCs w:val="20"/>
        </w:rPr>
        <w:t>。本次征收涉及**乡（镇）**村民委员会集体土地总面积**公顷（其中农用地**公顷、耕地**公顷、未利用地**公顷、建设用地**公顷）。经**村民委员会**村民小组</w:t>
      </w:r>
      <w:r>
        <w:rPr>
          <w:rFonts w:hint="default" w:ascii="Times New Roman" w:hAnsi="Times New Roman" w:eastAsia="方正仿宋_GBK" w:cs="Times New Roman"/>
          <w:sz w:val="32"/>
          <w:szCs w:val="20"/>
          <w:lang w:val="en-US" w:eastAsia="zh-CN"/>
        </w:rPr>
        <w:t>集体讨论</w:t>
      </w:r>
      <w:r>
        <w:rPr>
          <w:rFonts w:hint="default" w:ascii="Times New Roman" w:hAnsi="Times New Roman" w:eastAsia="方正仿宋_GBK" w:cs="Times New Roman"/>
          <w:sz w:val="32"/>
          <w:szCs w:val="20"/>
        </w:rPr>
        <w:t>，多数被征地的农村集体经济组织成员对《**项目征地补偿安置方案》各项内容无意见，无需进行听证。</w:t>
      </w:r>
    </w:p>
    <w:p w14:paraId="610F1AD0">
      <w:pPr>
        <w:spacing w:line="560" w:lineRule="exact"/>
        <w:jc w:val="right"/>
        <w:outlineLvl w:val="0"/>
        <w:rPr>
          <w:rFonts w:hint="default" w:ascii="Times New Roman" w:hAnsi="Times New Roman" w:eastAsia="方正仿宋_GBK" w:cs="Times New Roman"/>
          <w:bCs/>
          <w:sz w:val="32"/>
          <w:szCs w:val="32"/>
        </w:rPr>
      </w:pPr>
    </w:p>
    <w:p w14:paraId="507E2CD8">
      <w:pPr>
        <w:spacing w:line="550" w:lineRule="exact"/>
        <w:ind w:firstLine="640" w:firstLineChars="200"/>
        <w:jc w:val="right"/>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**村民委员会（签章）</w:t>
      </w:r>
    </w:p>
    <w:p w14:paraId="69B4EC8D">
      <w:pPr>
        <w:spacing w:line="560" w:lineRule="exact"/>
        <w:jc w:val="right"/>
        <w:outlineLvl w:val="0"/>
        <w:rPr>
          <w:rFonts w:hint="default" w:ascii="Times New Roman" w:hAnsi="Times New Roman" w:eastAsia="方正仿宋_GBK" w:cs="Times New Roman"/>
          <w:bCs/>
          <w:sz w:val="32"/>
          <w:szCs w:val="32"/>
        </w:rPr>
      </w:pPr>
    </w:p>
    <w:p w14:paraId="6ADF76D2">
      <w:pPr>
        <w:spacing w:line="560" w:lineRule="exact"/>
        <w:jc w:val="left"/>
        <w:outlineLvl w:val="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w:t>
      </w:r>
    </w:p>
    <w:p w14:paraId="6F268B64">
      <w:pPr>
        <w:spacing w:line="560" w:lineRule="exact"/>
        <w:jc w:val="left"/>
        <w:outlineLvl w:val="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被征地的农村集体经济组织成员签字</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56CE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3091B56">
            <w:pPr>
              <w:spacing w:line="560" w:lineRule="exact"/>
              <w:jc w:val="left"/>
              <w:outlineLvl w:val="0"/>
              <w:rPr>
                <w:rFonts w:hint="default" w:ascii="Times New Roman" w:hAnsi="Times New Roman" w:eastAsia="方正仿宋_GBK" w:cs="Times New Roman"/>
                <w:bCs/>
                <w:sz w:val="32"/>
                <w:szCs w:val="32"/>
              </w:rPr>
            </w:pPr>
          </w:p>
        </w:tc>
        <w:tc>
          <w:tcPr>
            <w:tcW w:w="2130" w:type="dxa"/>
          </w:tcPr>
          <w:p w14:paraId="08093285">
            <w:pPr>
              <w:spacing w:line="560" w:lineRule="exact"/>
              <w:jc w:val="left"/>
              <w:outlineLvl w:val="0"/>
              <w:rPr>
                <w:rFonts w:hint="default" w:ascii="Times New Roman" w:hAnsi="Times New Roman" w:eastAsia="方正仿宋_GBK" w:cs="Times New Roman"/>
                <w:bCs/>
                <w:sz w:val="32"/>
                <w:szCs w:val="32"/>
              </w:rPr>
            </w:pPr>
          </w:p>
        </w:tc>
        <w:tc>
          <w:tcPr>
            <w:tcW w:w="2131" w:type="dxa"/>
          </w:tcPr>
          <w:p w14:paraId="44C167E2">
            <w:pPr>
              <w:spacing w:line="560" w:lineRule="exact"/>
              <w:jc w:val="left"/>
              <w:outlineLvl w:val="0"/>
              <w:rPr>
                <w:rFonts w:hint="default" w:ascii="Times New Roman" w:hAnsi="Times New Roman" w:eastAsia="方正仿宋_GBK" w:cs="Times New Roman"/>
                <w:bCs/>
                <w:sz w:val="32"/>
                <w:szCs w:val="32"/>
              </w:rPr>
            </w:pPr>
          </w:p>
        </w:tc>
        <w:tc>
          <w:tcPr>
            <w:tcW w:w="2131" w:type="dxa"/>
          </w:tcPr>
          <w:p w14:paraId="18323346">
            <w:pPr>
              <w:spacing w:line="560" w:lineRule="exact"/>
              <w:jc w:val="left"/>
              <w:outlineLvl w:val="0"/>
              <w:rPr>
                <w:rFonts w:hint="default" w:ascii="Times New Roman" w:hAnsi="Times New Roman" w:eastAsia="方正仿宋_GBK" w:cs="Times New Roman"/>
                <w:bCs/>
                <w:sz w:val="32"/>
                <w:szCs w:val="32"/>
              </w:rPr>
            </w:pPr>
          </w:p>
        </w:tc>
      </w:tr>
      <w:tr w14:paraId="39C0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49AAEF6">
            <w:pPr>
              <w:spacing w:line="560" w:lineRule="exact"/>
              <w:jc w:val="left"/>
              <w:outlineLvl w:val="0"/>
              <w:rPr>
                <w:rFonts w:hint="default" w:ascii="Times New Roman" w:hAnsi="Times New Roman" w:eastAsia="方正仿宋_GBK" w:cs="Times New Roman"/>
                <w:bCs/>
                <w:sz w:val="32"/>
                <w:szCs w:val="32"/>
              </w:rPr>
            </w:pPr>
          </w:p>
        </w:tc>
        <w:tc>
          <w:tcPr>
            <w:tcW w:w="2130" w:type="dxa"/>
          </w:tcPr>
          <w:p w14:paraId="539DB324">
            <w:pPr>
              <w:spacing w:line="560" w:lineRule="exact"/>
              <w:jc w:val="left"/>
              <w:outlineLvl w:val="0"/>
              <w:rPr>
                <w:rFonts w:hint="default" w:ascii="Times New Roman" w:hAnsi="Times New Roman" w:eastAsia="方正仿宋_GBK" w:cs="Times New Roman"/>
                <w:bCs/>
                <w:sz w:val="32"/>
                <w:szCs w:val="32"/>
              </w:rPr>
            </w:pPr>
          </w:p>
        </w:tc>
        <w:tc>
          <w:tcPr>
            <w:tcW w:w="2131" w:type="dxa"/>
          </w:tcPr>
          <w:p w14:paraId="6B85C4E5">
            <w:pPr>
              <w:spacing w:line="560" w:lineRule="exact"/>
              <w:jc w:val="left"/>
              <w:outlineLvl w:val="0"/>
              <w:rPr>
                <w:rFonts w:hint="default" w:ascii="Times New Roman" w:hAnsi="Times New Roman" w:eastAsia="方正仿宋_GBK" w:cs="Times New Roman"/>
                <w:bCs/>
                <w:sz w:val="32"/>
                <w:szCs w:val="32"/>
              </w:rPr>
            </w:pPr>
          </w:p>
        </w:tc>
        <w:tc>
          <w:tcPr>
            <w:tcW w:w="2131" w:type="dxa"/>
          </w:tcPr>
          <w:p w14:paraId="2B1D6C57">
            <w:pPr>
              <w:spacing w:line="560" w:lineRule="exact"/>
              <w:jc w:val="left"/>
              <w:outlineLvl w:val="0"/>
              <w:rPr>
                <w:rFonts w:hint="default" w:ascii="Times New Roman" w:hAnsi="Times New Roman" w:eastAsia="方正仿宋_GBK" w:cs="Times New Roman"/>
                <w:bCs/>
                <w:sz w:val="32"/>
                <w:szCs w:val="32"/>
              </w:rPr>
            </w:pPr>
          </w:p>
        </w:tc>
      </w:tr>
      <w:tr w14:paraId="6F9C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F42DD33">
            <w:pPr>
              <w:spacing w:line="560" w:lineRule="exact"/>
              <w:jc w:val="left"/>
              <w:outlineLvl w:val="0"/>
              <w:rPr>
                <w:rFonts w:hint="default" w:ascii="Times New Roman" w:hAnsi="Times New Roman" w:eastAsia="方正仿宋_GBK" w:cs="Times New Roman"/>
                <w:bCs/>
                <w:sz w:val="32"/>
                <w:szCs w:val="32"/>
              </w:rPr>
            </w:pPr>
          </w:p>
        </w:tc>
        <w:tc>
          <w:tcPr>
            <w:tcW w:w="2130" w:type="dxa"/>
          </w:tcPr>
          <w:p w14:paraId="4AAA076D">
            <w:pPr>
              <w:spacing w:line="560" w:lineRule="exact"/>
              <w:jc w:val="left"/>
              <w:outlineLvl w:val="0"/>
              <w:rPr>
                <w:rFonts w:hint="default" w:ascii="Times New Roman" w:hAnsi="Times New Roman" w:eastAsia="方正仿宋_GBK" w:cs="Times New Roman"/>
                <w:bCs/>
                <w:sz w:val="32"/>
                <w:szCs w:val="32"/>
              </w:rPr>
            </w:pPr>
          </w:p>
        </w:tc>
        <w:tc>
          <w:tcPr>
            <w:tcW w:w="2131" w:type="dxa"/>
          </w:tcPr>
          <w:p w14:paraId="56BA2DD7">
            <w:pPr>
              <w:spacing w:line="560" w:lineRule="exact"/>
              <w:jc w:val="left"/>
              <w:outlineLvl w:val="0"/>
              <w:rPr>
                <w:rFonts w:hint="default" w:ascii="Times New Roman" w:hAnsi="Times New Roman" w:eastAsia="方正仿宋_GBK" w:cs="Times New Roman"/>
                <w:bCs/>
                <w:sz w:val="32"/>
                <w:szCs w:val="32"/>
              </w:rPr>
            </w:pPr>
          </w:p>
        </w:tc>
        <w:tc>
          <w:tcPr>
            <w:tcW w:w="2131" w:type="dxa"/>
          </w:tcPr>
          <w:p w14:paraId="66002CBD">
            <w:pPr>
              <w:spacing w:line="560" w:lineRule="exact"/>
              <w:jc w:val="left"/>
              <w:outlineLvl w:val="0"/>
              <w:rPr>
                <w:rFonts w:hint="default" w:ascii="Times New Roman" w:hAnsi="Times New Roman" w:eastAsia="方正仿宋_GBK" w:cs="Times New Roman"/>
                <w:bCs/>
                <w:sz w:val="32"/>
                <w:szCs w:val="32"/>
              </w:rPr>
            </w:pPr>
          </w:p>
        </w:tc>
      </w:tr>
      <w:tr w14:paraId="5572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14:paraId="48862CF4">
            <w:pPr>
              <w:spacing w:line="560" w:lineRule="exact"/>
              <w:jc w:val="left"/>
              <w:outlineLvl w:val="0"/>
              <w:rPr>
                <w:rFonts w:hint="default" w:ascii="Times New Roman" w:hAnsi="Times New Roman" w:eastAsia="方正仿宋_GBK" w:cs="Times New Roman"/>
                <w:bCs/>
                <w:sz w:val="32"/>
                <w:szCs w:val="32"/>
              </w:rPr>
            </w:pPr>
          </w:p>
        </w:tc>
        <w:tc>
          <w:tcPr>
            <w:tcW w:w="2130" w:type="dxa"/>
          </w:tcPr>
          <w:p w14:paraId="336712F5">
            <w:pPr>
              <w:spacing w:line="560" w:lineRule="exact"/>
              <w:jc w:val="left"/>
              <w:outlineLvl w:val="0"/>
              <w:rPr>
                <w:rFonts w:hint="default" w:ascii="Times New Roman" w:hAnsi="Times New Roman" w:eastAsia="方正仿宋_GBK" w:cs="Times New Roman"/>
                <w:bCs/>
                <w:sz w:val="32"/>
                <w:szCs w:val="32"/>
              </w:rPr>
            </w:pPr>
          </w:p>
        </w:tc>
        <w:tc>
          <w:tcPr>
            <w:tcW w:w="2131" w:type="dxa"/>
          </w:tcPr>
          <w:p w14:paraId="3B7FC430">
            <w:pPr>
              <w:spacing w:line="560" w:lineRule="exact"/>
              <w:jc w:val="left"/>
              <w:outlineLvl w:val="0"/>
              <w:rPr>
                <w:rFonts w:hint="default" w:ascii="Times New Roman" w:hAnsi="Times New Roman" w:eastAsia="方正仿宋_GBK" w:cs="Times New Roman"/>
                <w:bCs/>
                <w:sz w:val="32"/>
                <w:szCs w:val="32"/>
              </w:rPr>
            </w:pPr>
          </w:p>
        </w:tc>
        <w:tc>
          <w:tcPr>
            <w:tcW w:w="2131" w:type="dxa"/>
          </w:tcPr>
          <w:p w14:paraId="11DDDE03">
            <w:pPr>
              <w:spacing w:line="560" w:lineRule="exact"/>
              <w:jc w:val="left"/>
              <w:outlineLvl w:val="0"/>
              <w:rPr>
                <w:rFonts w:hint="default" w:ascii="Times New Roman" w:hAnsi="Times New Roman" w:eastAsia="方正仿宋_GBK" w:cs="Times New Roman"/>
                <w:bCs/>
                <w:sz w:val="32"/>
                <w:szCs w:val="32"/>
              </w:rPr>
            </w:pPr>
          </w:p>
        </w:tc>
      </w:tr>
      <w:tr w14:paraId="579C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950FA7A">
            <w:pPr>
              <w:spacing w:line="560" w:lineRule="exact"/>
              <w:jc w:val="left"/>
              <w:outlineLvl w:val="0"/>
              <w:rPr>
                <w:rFonts w:hint="default" w:ascii="Times New Roman" w:hAnsi="Times New Roman" w:eastAsia="方正仿宋_GBK" w:cs="Times New Roman"/>
                <w:bCs/>
                <w:sz w:val="32"/>
                <w:szCs w:val="32"/>
              </w:rPr>
            </w:pPr>
          </w:p>
        </w:tc>
        <w:tc>
          <w:tcPr>
            <w:tcW w:w="2130" w:type="dxa"/>
          </w:tcPr>
          <w:p w14:paraId="3FDAF8C0">
            <w:pPr>
              <w:spacing w:line="560" w:lineRule="exact"/>
              <w:jc w:val="left"/>
              <w:outlineLvl w:val="0"/>
              <w:rPr>
                <w:rFonts w:hint="default" w:ascii="Times New Roman" w:hAnsi="Times New Roman" w:eastAsia="方正仿宋_GBK" w:cs="Times New Roman"/>
                <w:bCs/>
                <w:sz w:val="32"/>
                <w:szCs w:val="32"/>
              </w:rPr>
            </w:pPr>
          </w:p>
        </w:tc>
        <w:tc>
          <w:tcPr>
            <w:tcW w:w="2131" w:type="dxa"/>
          </w:tcPr>
          <w:p w14:paraId="3283327B">
            <w:pPr>
              <w:spacing w:line="560" w:lineRule="exact"/>
              <w:jc w:val="left"/>
              <w:outlineLvl w:val="0"/>
              <w:rPr>
                <w:rFonts w:hint="default" w:ascii="Times New Roman" w:hAnsi="Times New Roman" w:eastAsia="方正仿宋_GBK" w:cs="Times New Roman"/>
                <w:bCs/>
                <w:sz w:val="32"/>
                <w:szCs w:val="32"/>
              </w:rPr>
            </w:pPr>
          </w:p>
        </w:tc>
        <w:tc>
          <w:tcPr>
            <w:tcW w:w="2131" w:type="dxa"/>
          </w:tcPr>
          <w:p w14:paraId="5C6F8852">
            <w:pPr>
              <w:spacing w:line="560" w:lineRule="exact"/>
              <w:jc w:val="left"/>
              <w:outlineLvl w:val="0"/>
              <w:rPr>
                <w:rFonts w:hint="default" w:ascii="Times New Roman" w:hAnsi="Times New Roman" w:eastAsia="方正仿宋_GBK" w:cs="Times New Roman"/>
                <w:bCs/>
                <w:sz w:val="32"/>
                <w:szCs w:val="32"/>
              </w:rPr>
            </w:pPr>
          </w:p>
        </w:tc>
      </w:tr>
      <w:tr w14:paraId="5783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FD37F1B">
            <w:pPr>
              <w:spacing w:line="560" w:lineRule="exact"/>
              <w:jc w:val="left"/>
              <w:outlineLvl w:val="0"/>
              <w:rPr>
                <w:rFonts w:hint="default" w:ascii="Times New Roman" w:hAnsi="Times New Roman" w:eastAsia="方正仿宋_GBK" w:cs="Times New Roman"/>
                <w:bCs/>
                <w:sz w:val="32"/>
                <w:szCs w:val="32"/>
              </w:rPr>
            </w:pPr>
          </w:p>
        </w:tc>
        <w:tc>
          <w:tcPr>
            <w:tcW w:w="2130" w:type="dxa"/>
          </w:tcPr>
          <w:p w14:paraId="64323AD6">
            <w:pPr>
              <w:spacing w:line="560" w:lineRule="exact"/>
              <w:jc w:val="left"/>
              <w:outlineLvl w:val="0"/>
              <w:rPr>
                <w:rFonts w:hint="default" w:ascii="Times New Roman" w:hAnsi="Times New Roman" w:eastAsia="方正仿宋_GBK" w:cs="Times New Roman"/>
                <w:bCs/>
                <w:sz w:val="32"/>
                <w:szCs w:val="32"/>
              </w:rPr>
            </w:pPr>
          </w:p>
        </w:tc>
        <w:tc>
          <w:tcPr>
            <w:tcW w:w="2131" w:type="dxa"/>
          </w:tcPr>
          <w:p w14:paraId="68235AD2">
            <w:pPr>
              <w:spacing w:line="560" w:lineRule="exact"/>
              <w:jc w:val="left"/>
              <w:outlineLvl w:val="0"/>
              <w:rPr>
                <w:rFonts w:hint="default" w:ascii="Times New Roman" w:hAnsi="Times New Roman" w:eastAsia="方正仿宋_GBK" w:cs="Times New Roman"/>
                <w:bCs/>
                <w:sz w:val="32"/>
                <w:szCs w:val="32"/>
              </w:rPr>
            </w:pPr>
          </w:p>
        </w:tc>
        <w:tc>
          <w:tcPr>
            <w:tcW w:w="2131" w:type="dxa"/>
          </w:tcPr>
          <w:p w14:paraId="1DF5F238">
            <w:pPr>
              <w:spacing w:line="560" w:lineRule="exact"/>
              <w:jc w:val="left"/>
              <w:outlineLvl w:val="0"/>
              <w:rPr>
                <w:rFonts w:hint="default" w:ascii="Times New Roman" w:hAnsi="Times New Roman" w:eastAsia="方正仿宋_GBK" w:cs="Times New Roman"/>
                <w:bCs/>
                <w:sz w:val="32"/>
                <w:szCs w:val="32"/>
              </w:rPr>
            </w:pPr>
          </w:p>
        </w:tc>
      </w:tr>
    </w:tbl>
    <w:p w14:paraId="709C2CED">
      <w:pPr>
        <w:spacing w:line="550" w:lineRule="exact"/>
        <w:ind w:firstLine="640" w:firstLineChars="200"/>
        <w:jc w:val="right"/>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**年**月**日</w:t>
      </w:r>
    </w:p>
    <w:p w14:paraId="697BBE48">
      <w:pPr>
        <w:spacing w:line="550" w:lineRule="exact"/>
        <w:ind w:firstLine="640" w:firstLineChars="200"/>
        <w:jc w:val="right"/>
        <w:rPr>
          <w:rFonts w:hint="default" w:ascii="Times New Roman" w:hAnsi="Times New Roman" w:eastAsia="方正仿宋_GBK" w:cs="Times New Roman"/>
          <w:sz w:val="32"/>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B5F290-A52B-469E-AB0A-524E7D43FF8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B2C06627-9DE8-4228-8CCE-33B869B93F2C}"/>
  </w:font>
  <w:font w:name="方正仿宋_GBK">
    <w:panose1 w:val="03000509000000000000"/>
    <w:charset w:val="86"/>
    <w:family w:val="auto"/>
    <w:pitch w:val="default"/>
    <w:sig w:usb0="00000001" w:usb1="080E0000" w:usb2="00000000" w:usb3="00000000" w:csb0="00040000" w:csb1="00000000"/>
    <w:embedRegular r:id="rId3" w:fontKey="{0657FB8D-C02B-455F-9D64-20BCDE66C8EC}"/>
  </w:font>
  <w:font w:name="仿宋_GB2312">
    <w:panose1 w:val="02010609030101010101"/>
    <w:charset w:val="86"/>
    <w:family w:val="auto"/>
    <w:pitch w:val="default"/>
    <w:sig w:usb0="00000001" w:usb1="080E0000" w:usb2="00000000" w:usb3="00000000" w:csb0="00040000" w:csb1="00000000"/>
    <w:embedRegular r:id="rId4" w:fontKey="{A23EFF46-2FA0-4E56-92C3-853361A38661}"/>
  </w:font>
  <w:font w:name="方正黑体_GBK">
    <w:panose1 w:val="03000509000000000000"/>
    <w:charset w:val="86"/>
    <w:family w:val="script"/>
    <w:pitch w:val="default"/>
    <w:sig w:usb0="00000001" w:usb1="080E0000" w:usb2="00000000" w:usb3="00000000" w:csb0="00040000" w:csb1="00000000"/>
    <w:embedRegular r:id="rId5" w:fontKey="{E738021B-530A-4123-A77F-F67A989DD426}"/>
  </w:font>
  <w:font w:name="Wingdings 2">
    <w:panose1 w:val="05020102010507070707"/>
    <w:charset w:val="00"/>
    <w:family w:val="auto"/>
    <w:pitch w:val="default"/>
    <w:sig w:usb0="00000000" w:usb1="00000000" w:usb2="00000000" w:usb3="00000000" w:csb0="80000000" w:csb1="00000000"/>
    <w:embedRegular r:id="rId6" w:fontKey="{DE8CFE66-9E6F-4227-A533-3492D1FFD3E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NDM5NmY3ODIyYjU5MTkxNDIyNjZiMzBlMTdiMzgifQ=="/>
  </w:docVars>
  <w:rsids>
    <w:rsidRoot w:val="00255B44"/>
    <w:rsid w:val="00001395"/>
    <w:rsid w:val="00002CC3"/>
    <w:rsid w:val="00003D05"/>
    <w:rsid w:val="00006F54"/>
    <w:rsid w:val="00011347"/>
    <w:rsid w:val="00025667"/>
    <w:rsid w:val="00025A58"/>
    <w:rsid w:val="00025EAC"/>
    <w:rsid w:val="000261EF"/>
    <w:rsid w:val="00026F78"/>
    <w:rsid w:val="00035931"/>
    <w:rsid w:val="000422BC"/>
    <w:rsid w:val="0005658D"/>
    <w:rsid w:val="00056856"/>
    <w:rsid w:val="00065A3D"/>
    <w:rsid w:val="00071C42"/>
    <w:rsid w:val="00090451"/>
    <w:rsid w:val="00095D6D"/>
    <w:rsid w:val="000A007E"/>
    <w:rsid w:val="000A7CD5"/>
    <w:rsid w:val="000B3F86"/>
    <w:rsid w:val="000B6330"/>
    <w:rsid w:val="000C43FC"/>
    <w:rsid w:val="000C5AF3"/>
    <w:rsid w:val="000C7B8F"/>
    <w:rsid w:val="000C7BC8"/>
    <w:rsid w:val="000D333D"/>
    <w:rsid w:val="000D4B17"/>
    <w:rsid w:val="000E0AED"/>
    <w:rsid w:val="000E1E8D"/>
    <w:rsid w:val="000F10FE"/>
    <w:rsid w:val="000F402B"/>
    <w:rsid w:val="000F515A"/>
    <w:rsid w:val="000F6B57"/>
    <w:rsid w:val="00101DFC"/>
    <w:rsid w:val="00102671"/>
    <w:rsid w:val="001209F7"/>
    <w:rsid w:val="00121EE3"/>
    <w:rsid w:val="00122AAD"/>
    <w:rsid w:val="001234D5"/>
    <w:rsid w:val="00124572"/>
    <w:rsid w:val="00124B4F"/>
    <w:rsid w:val="00127E5C"/>
    <w:rsid w:val="00135C90"/>
    <w:rsid w:val="00143467"/>
    <w:rsid w:val="001613C3"/>
    <w:rsid w:val="00164FD1"/>
    <w:rsid w:val="00191293"/>
    <w:rsid w:val="0019285D"/>
    <w:rsid w:val="001A3C9D"/>
    <w:rsid w:val="001B35B7"/>
    <w:rsid w:val="001B3E95"/>
    <w:rsid w:val="001B4116"/>
    <w:rsid w:val="001B6B77"/>
    <w:rsid w:val="001B7C08"/>
    <w:rsid w:val="001C251D"/>
    <w:rsid w:val="001C3DE8"/>
    <w:rsid w:val="001C61D1"/>
    <w:rsid w:val="001D4550"/>
    <w:rsid w:val="001E34FE"/>
    <w:rsid w:val="001E7DCE"/>
    <w:rsid w:val="002044C2"/>
    <w:rsid w:val="0020625E"/>
    <w:rsid w:val="002122FC"/>
    <w:rsid w:val="00215375"/>
    <w:rsid w:val="00216C9A"/>
    <w:rsid w:val="002237EB"/>
    <w:rsid w:val="0023693A"/>
    <w:rsid w:val="00243C15"/>
    <w:rsid w:val="00245C83"/>
    <w:rsid w:val="00247270"/>
    <w:rsid w:val="002473B1"/>
    <w:rsid w:val="00255B44"/>
    <w:rsid w:val="00257354"/>
    <w:rsid w:val="002616ED"/>
    <w:rsid w:val="00263779"/>
    <w:rsid w:val="00263BF0"/>
    <w:rsid w:val="002650C5"/>
    <w:rsid w:val="002665F8"/>
    <w:rsid w:val="00266885"/>
    <w:rsid w:val="002714AB"/>
    <w:rsid w:val="00271878"/>
    <w:rsid w:val="00272CDA"/>
    <w:rsid w:val="002759B7"/>
    <w:rsid w:val="00283567"/>
    <w:rsid w:val="002844A3"/>
    <w:rsid w:val="0028507C"/>
    <w:rsid w:val="00286A12"/>
    <w:rsid w:val="0029185E"/>
    <w:rsid w:val="00291945"/>
    <w:rsid w:val="00293443"/>
    <w:rsid w:val="00295BCC"/>
    <w:rsid w:val="002A5629"/>
    <w:rsid w:val="002B311C"/>
    <w:rsid w:val="002B35B2"/>
    <w:rsid w:val="002B3D8F"/>
    <w:rsid w:val="002B565E"/>
    <w:rsid w:val="002B7947"/>
    <w:rsid w:val="002C1A8F"/>
    <w:rsid w:val="002C576B"/>
    <w:rsid w:val="002C5804"/>
    <w:rsid w:val="002C6C09"/>
    <w:rsid w:val="002C7318"/>
    <w:rsid w:val="002D0B70"/>
    <w:rsid w:val="002D553B"/>
    <w:rsid w:val="002F122A"/>
    <w:rsid w:val="002F3F2E"/>
    <w:rsid w:val="002F4B00"/>
    <w:rsid w:val="002F7069"/>
    <w:rsid w:val="002F785F"/>
    <w:rsid w:val="00300E66"/>
    <w:rsid w:val="0030333F"/>
    <w:rsid w:val="00303CF1"/>
    <w:rsid w:val="003120CF"/>
    <w:rsid w:val="00312AF2"/>
    <w:rsid w:val="00313B6E"/>
    <w:rsid w:val="00315225"/>
    <w:rsid w:val="00320478"/>
    <w:rsid w:val="003236AF"/>
    <w:rsid w:val="00330BCD"/>
    <w:rsid w:val="003313B9"/>
    <w:rsid w:val="0033503D"/>
    <w:rsid w:val="00335DC7"/>
    <w:rsid w:val="00336D2F"/>
    <w:rsid w:val="00341531"/>
    <w:rsid w:val="0034246D"/>
    <w:rsid w:val="003438E8"/>
    <w:rsid w:val="00343ABA"/>
    <w:rsid w:val="00347943"/>
    <w:rsid w:val="00350DA8"/>
    <w:rsid w:val="00351F49"/>
    <w:rsid w:val="00353657"/>
    <w:rsid w:val="003542E0"/>
    <w:rsid w:val="003575BF"/>
    <w:rsid w:val="00365734"/>
    <w:rsid w:val="0036588D"/>
    <w:rsid w:val="00365BA4"/>
    <w:rsid w:val="00366C7A"/>
    <w:rsid w:val="00366DFA"/>
    <w:rsid w:val="00367798"/>
    <w:rsid w:val="0037201E"/>
    <w:rsid w:val="00375D00"/>
    <w:rsid w:val="00376379"/>
    <w:rsid w:val="003766E1"/>
    <w:rsid w:val="00381873"/>
    <w:rsid w:val="00381F09"/>
    <w:rsid w:val="00382414"/>
    <w:rsid w:val="003835E2"/>
    <w:rsid w:val="00391E5B"/>
    <w:rsid w:val="00392539"/>
    <w:rsid w:val="00395261"/>
    <w:rsid w:val="003A08F3"/>
    <w:rsid w:val="003B0C88"/>
    <w:rsid w:val="003B47F6"/>
    <w:rsid w:val="003B6F62"/>
    <w:rsid w:val="003C44D6"/>
    <w:rsid w:val="003D45B2"/>
    <w:rsid w:val="003D7AC0"/>
    <w:rsid w:val="003E1D9F"/>
    <w:rsid w:val="003E4488"/>
    <w:rsid w:val="003E661F"/>
    <w:rsid w:val="00401757"/>
    <w:rsid w:val="00403F13"/>
    <w:rsid w:val="004052CB"/>
    <w:rsid w:val="00406632"/>
    <w:rsid w:val="00407CB7"/>
    <w:rsid w:val="004103A8"/>
    <w:rsid w:val="00411787"/>
    <w:rsid w:val="004144AB"/>
    <w:rsid w:val="00414A8F"/>
    <w:rsid w:val="00423428"/>
    <w:rsid w:val="00433460"/>
    <w:rsid w:val="00445F3A"/>
    <w:rsid w:val="00447377"/>
    <w:rsid w:val="004519E4"/>
    <w:rsid w:val="00452C0C"/>
    <w:rsid w:val="0045341A"/>
    <w:rsid w:val="00455C4A"/>
    <w:rsid w:val="00476694"/>
    <w:rsid w:val="00483619"/>
    <w:rsid w:val="0048389C"/>
    <w:rsid w:val="0048490B"/>
    <w:rsid w:val="00486D47"/>
    <w:rsid w:val="0049385F"/>
    <w:rsid w:val="00496689"/>
    <w:rsid w:val="004A4006"/>
    <w:rsid w:val="004A74C8"/>
    <w:rsid w:val="004B0B19"/>
    <w:rsid w:val="004B12BD"/>
    <w:rsid w:val="004B1864"/>
    <w:rsid w:val="004B3001"/>
    <w:rsid w:val="004B3D36"/>
    <w:rsid w:val="004B5556"/>
    <w:rsid w:val="004B5611"/>
    <w:rsid w:val="004C1566"/>
    <w:rsid w:val="004C1841"/>
    <w:rsid w:val="004C4B7E"/>
    <w:rsid w:val="004C773A"/>
    <w:rsid w:val="004D2F90"/>
    <w:rsid w:val="004D36D9"/>
    <w:rsid w:val="004D48FC"/>
    <w:rsid w:val="004D5456"/>
    <w:rsid w:val="004E4CBB"/>
    <w:rsid w:val="004F1EBD"/>
    <w:rsid w:val="004F6B21"/>
    <w:rsid w:val="004F6BA2"/>
    <w:rsid w:val="00510AE1"/>
    <w:rsid w:val="00511B15"/>
    <w:rsid w:val="00513B9E"/>
    <w:rsid w:val="0051438A"/>
    <w:rsid w:val="005206F7"/>
    <w:rsid w:val="0052278B"/>
    <w:rsid w:val="005312B1"/>
    <w:rsid w:val="00537FE4"/>
    <w:rsid w:val="00550B59"/>
    <w:rsid w:val="00551685"/>
    <w:rsid w:val="00557296"/>
    <w:rsid w:val="00561634"/>
    <w:rsid w:val="00562D7E"/>
    <w:rsid w:val="00564821"/>
    <w:rsid w:val="005660FC"/>
    <w:rsid w:val="00567BEC"/>
    <w:rsid w:val="00581AF2"/>
    <w:rsid w:val="005838D8"/>
    <w:rsid w:val="00590BC8"/>
    <w:rsid w:val="00593189"/>
    <w:rsid w:val="00595191"/>
    <w:rsid w:val="005973E3"/>
    <w:rsid w:val="005A2D76"/>
    <w:rsid w:val="005A412E"/>
    <w:rsid w:val="005B0D08"/>
    <w:rsid w:val="005B359F"/>
    <w:rsid w:val="005C6D54"/>
    <w:rsid w:val="005D4BFD"/>
    <w:rsid w:val="005D7CC3"/>
    <w:rsid w:val="005E2E9C"/>
    <w:rsid w:val="005E74D2"/>
    <w:rsid w:val="005F15A5"/>
    <w:rsid w:val="005F39C5"/>
    <w:rsid w:val="005F48BB"/>
    <w:rsid w:val="006053CB"/>
    <w:rsid w:val="006110BC"/>
    <w:rsid w:val="0061540B"/>
    <w:rsid w:val="00616464"/>
    <w:rsid w:val="00621A2E"/>
    <w:rsid w:val="00624B9E"/>
    <w:rsid w:val="00627ED4"/>
    <w:rsid w:val="00632EB1"/>
    <w:rsid w:val="00633B0C"/>
    <w:rsid w:val="00637484"/>
    <w:rsid w:val="006403E9"/>
    <w:rsid w:val="00654290"/>
    <w:rsid w:val="00654CD6"/>
    <w:rsid w:val="00662573"/>
    <w:rsid w:val="00663A05"/>
    <w:rsid w:val="0067233C"/>
    <w:rsid w:val="006801ED"/>
    <w:rsid w:val="0068248E"/>
    <w:rsid w:val="006826D1"/>
    <w:rsid w:val="00683371"/>
    <w:rsid w:val="00683926"/>
    <w:rsid w:val="00690A68"/>
    <w:rsid w:val="006966A2"/>
    <w:rsid w:val="006A0569"/>
    <w:rsid w:val="006A1133"/>
    <w:rsid w:val="006A3503"/>
    <w:rsid w:val="006A386E"/>
    <w:rsid w:val="006A3BDB"/>
    <w:rsid w:val="006A5B0D"/>
    <w:rsid w:val="006A6AD9"/>
    <w:rsid w:val="006A6E97"/>
    <w:rsid w:val="006B4899"/>
    <w:rsid w:val="006B5546"/>
    <w:rsid w:val="006B7EBD"/>
    <w:rsid w:val="006C028A"/>
    <w:rsid w:val="006C02AA"/>
    <w:rsid w:val="006C1B05"/>
    <w:rsid w:val="006C3CE1"/>
    <w:rsid w:val="006D0953"/>
    <w:rsid w:val="006D3BBB"/>
    <w:rsid w:val="006E18B0"/>
    <w:rsid w:val="006E3AAC"/>
    <w:rsid w:val="006E43DE"/>
    <w:rsid w:val="006F02D1"/>
    <w:rsid w:val="006F2BB2"/>
    <w:rsid w:val="006F2E43"/>
    <w:rsid w:val="00704A47"/>
    <w:rsid w:val="007065DB"/>
    <w:rsid w:val="0071124D"/>
    <w:rsid w:val="00711D82"/>
    <w:rsid w:val="00713CC8"/>
    <w:rsid w:val="00716477"/>
    <w:rsid w:val="00722127"/>
    <w:rsid w:val="0072514E"/>
    <w:rsid w:val="0072536E"/>
    <w:rsid w:val="00727013"/>
    <w:rsid w:val="0073050F"/>
    <w:rsid w:val="00731721"/>
    <w:rsid w:val="007321B9"/>
    <w:rsid w:val="007331E6"/>
    <w:rsid w:val="007348FD"/>
    <w:rsid w:val="0073638D"/>
    <w:rsid w:val="00736B2C"/>
    <w:rsid w:val="007376BE"/>
    <w:rsid w:val="00741E48"/>
    <w:rsid w:val="0074333A"/>
    <w:rsid w:val="00745448"/>
    <w:rsid w:val="0074552A"/>
    <w:rsid w:val="00745635"/>
    <w:rsid w:val="007478AD"/>
    <w:rsid w:val="00747F04"/>
    <w:rsid w:val="00751F66"/>
    <w:rsid w:val="00755776"/>
    <w:rsid w:val="00757A7B"/>
    <w:rsid w:val="007612B1"/>
    <w:rsid w:val="00764675"/>
    <w:rsid w:val="00765205"/>
    <w:rsid w:val="00771626"/>
    <w:rsid w:val="007755BD"/>
    <w:rsid w:val="00780442"/>
    <w:rsid w:val="00785994"/>
    <w:rsid w:val="00791952"/>
    <w:rsid w:val="00794983"/>
    <w:rsid w:val="007954FE"/>
    <w:rsid w:val="00797951"/>
    <w:rsid w:val="007A00A2"/>
    <w:rsid w:val="007A1821"/>
    <w:rsid w:val="007A7691"/>
    <w:rsid w:val="007B37DB"/>
    <w:rsid w:val="007B4153"/>
    <w:rsid w:val="007B790F"/>
    <w:rsid w:val="007D4564"/>
    <w:rsid w:val="007E63D5"/>
    <w:rsid w:val="007F7E35"/>
    <w:rsid w:val="0080293B"/>
    <w:rsid w:val="00807A17"/>
    <w:rsid w:val="0081011E"/>
    <w:rsid w:val="008108A7"/>
    <w:rsid w:val="00810C34"/>
    <w:rsid w:val="0082096F"/>
    <w:rsid w:val="00823B8B"/>
    <w:rsid w:val="00831E05"/>
    <w:rsid w:val="00832B4C"/>
    <w:rsid w:val="0083772E"/>
    <w:rsid w:val="00840028"/>
    <w:rsid w:val="00846A74"/>
    <w:rsid w:val="008477F2"/>
    <w:rsid w:val="00851090"/>
    <w:rsid w:val="008534EA"/>
    <w:rsid w:val="00860162"/>
    <w:rsid w:val="00861E66"/>
    <w:rsid w:val="00874642"/>
    <w:rsid w:val="0087478F"/>
    <w:rsid w:val="00890D7A"/>
    <w:rsid w:val="00893104"/>
    <w:rsid w:val="00893447"/>
    <w:rsid w:val="008A07FB"/>
    <w:rsid w:val="008A6847"/>
    <w:rsid w:val="008A75C3"/>
    <w:rsid w:val="008B02D3"/>
    <w:rsid w:val="008B166E"/>
    <w:rsid w:val="008B5628"/>
    <w:rsid w:val="008B6028"/>
    <w:rsid w:val="008C4786"/>
    <w:rsid w:val="008D51C7"/>
    <w:rsid w:val="008D7869"/>
    <w:rsid w:val="008D7B4A"/>
    <w:rsid w:val="008E4B82"/>
    <w:rsid w:val="009049AB"/>
    <w:rsid w:val="009056AB"/>
    <w:rsid w:val="00912246"/>
    <w:rsid w:val="00912296"/>
    <w:rsid w:val="0091385B"/>
    <w:rsid w:val="00913F21"/>
    <w:rsid w:val="00914B98"/>
    <w:rsid w:val="00917BC0"/>
    <w:rsid w:val="00923004"/>
    <w:rsid w:val="00924C1B"/>
    <w:rsid w:val="00933243"/>
    <w:rsid w:val="00933318"/>
    <w:rsid w:val="00952C53"/>
    <w:rsid w:val="00954EF8"/>
    <w:rsid w:val="00956E5B"/>
    <w:rsid w:val="009622C4"/>
    <w:rsid w:val="00966E06"/>
    <w:rsid w:val="00967BC7"/>
    <w:rsid w:val="00970439"/>
    <w:rsid w:val="00971272"/>
    <w:rsid w:val="00972461"/>
    <w:rsid w:val="00981CD0"/>
    <w:rsid w:val="00996673"/>
    <w:rsid w:val="00996BA8"/>
    <w:rsid w:val="009973A5"/>
    <w:rsid w:val="009A451C"/>
    <w:rsid w:val="009C0CB9"/>
    <w:rsid w:val="009C1754"/>
    <w:rsid w:val="009C20A3"/>
    <w:rsid w:val="009C2CAB"/>
    <w:rsid w:val="009C6A23"/>
    <w:rsid w:val="009D724C"/>
    <w:rsid w:val="009E0516"/>
    <w:rsid w:val="009E1A8A"/>
    <w:rsid w:val="009E2045"/>
    <w:rsid w:val="009E4BD4"/>
    <w:rsid w:val="009E6B60"/>
    <w:rsid w:val="009E71E7"/>
    <w:rsid w:val="009F3792"/>
    <w:rsid w:val="00A20777"/>
    <w:rsid w:val="00A27E44"/>
    <w:rsid w:val="00A32713"/>
    <w:rsid w:val="00A40920"/>
    <w:rsid w:val="00A40D8D"/>
    <w:rsid w:val="00A471D1"/>
    <w:rsid w:val="00A50BD1"/>
    <w:rsid w:val="00A50D0E"/>
    <w:rsid w:val="00A51251"/>
    <w:rsid w:val="00A619FF"/>
    <w:rsid w:val="00A62F1E"/>
    <w:rsid w:val="00A749A2"/>
    <w:rsid w:val="00A94174"/>
    <w:rsid w:val="00A974C1"/>
    <w:rsid w:val="00AA36CA"/>
    <w:rsid w:val="00AB0734"/>
    <w:rsid w:val="00AB0985"/>
    <w:rsid w:val="00AB3ECD"/>
    <w:rsid w:val="00AC307A"/>
    <w:rsid w:val="00AC58F2"/>
    <w:rsid w:val="00AC5FF7"/>
    <w:rsid w:val="00AD397C"/>
    <w:rsid w:val="00AD55A8"/>
    <w:rsid w:val="00AD5DCA"/>
    <w:rsid w:val="00AD741C"/>
    <w:rsid w:val="00AE0BB5"/>
    <w:rsid w:val="00AE3FA5"/>
    <w:rsid w:val="00AF0A96"/>
    <w:rsid w:val="00AF25FD"/>
    <w:rsid w:val="00AF320F"/>
    <w:rsid w:val="00B01564"/>
    <w:rsid w:val="00B030EC"/>
    <w:rsid w:val="00B059DA"/>
    <w:rsid w:val="00B076A8"/>
    <w:rsid w:val="00B11CF1"/>
    <w:rsid w:val="00B13D0E"/>
    <w:rsid w:val="00B23D44"/>
    <w:rsid w:val="00B33BA1"/>
    <w:rsid w:val="00B625E5"/>
    <w:rsid w:val="00B63C06"/>
    <w:rsid w:val="00B670EF"/>
    <w:rsid w:val="00B767B5"/>
    <w:rsid w:val="00B95E3E"/>
    <w:rsid w:val="00BA09D3"/>
    <w:rsid w:val="00BA52DD"/>
    <w:rsid w:val="00BB1640"/>
    <w:rsid w:val="00BB1D5D"/>
    <w:rsid w:val="00BB357B"/>
    <w:rsid w:val="00BB6A3D"/>
    <w:rsid w:val="00BB7973"/>
    <w:rsid w:val="00BB7B63"/>
    <w:rsid w:val="00BB7CCB"/>
    <w:rsid w:val="00BC1E63"/>
    <w:rsid w:val="00BC2660"/>
    <w:rsid w:val="00BD06E6"/>
    <w:rsid w:val="00BD3D40"/>
    <w:rsid w:val="00BD4D91"/>
    <w:rsid w:val="00BE3DA8"/>
    <w:rsid w:val="00BE70D8"/>
    <w:rsid w:val="00BF1B5A"/>
    <w:rsid w:val="00BF380C"/>
    <w:rsid w:val="00C059C0"/>
    <w:rsid w:val="00C05A3A"/>
    <w:rsid w:val="00C0607E"/>
    <w:rsid w:val="00C10FC7"/>
    <w:rsid w:val="00C172D2"/>
    <w:rsid w:val="00C17B4E"/>
    <w:rsid w:val="00C17EF9"/>
    <w:rsid w:val="00C22924"/>
    <w:rsid w:val="00C37CE6"/>
    <w:rsid w:val="00C43E83"/>
    <w:rsid w:val="00C44E55"/>
    <w:rsid w:val="00C46582"/>
    <w:rsid w:val="00C55D76"/>
    <w:rsid w:val="00C5736D"/>
    <w:rsid w:val="00C64C39"/>
    <w:rsid w:val="00C65EFB"/>
    <w:rsid w:val="00C71F40"/>
    <w:rsid w:val="00C75100"/>
    <w:rsid w:val="00C75B91"/>
    <w:rsid w:val="00C7744A"/>
    <w:rsid w:val="00C9013F"/>
    <w:rsid w:val="00C93E1F"/>
    <w:rsid w:val="00CA1A0D"/>
    <w:rsid w:val="00CA4587"/>
    <w:rsid w:val="00CB0A04"/>
    <w:rsid w:val="00CB65B3"/>
    <w:rsid w:val="00CC05D9"/>
    <w:rsid w:val="00CC25DD"/>
    <w:rsid w:val="00CC3106"/>
    <w:rsid w:val="00CC359B"/>
    <w:rsid w:val="00CD59F6"/>
    <w:rsid w:val="00CD74F6"/>
    <w:rsid w:val="00CD7C64"/>
    <w:rsid w:val="00CE1287"/>
    <w:rsid w:val="00CE46B8"/>
    <w:rsid w:val="00CE55EB"/>
    <w:rsid w:val="00CE7886"/>
    <w:rsid w:val="00CF0AEB"/>
    <w:rsid w:val="00CF39C9"/>
    <w:rsid w:val="00D011F9"/>
    <w:rsid w:val="00D01BF1"/>
    <w:rsid w:val="00D02CA9"/>
    <w:rsid w:val="00D05CEF"/>
    <w:rsid w:val="00D1320E"/>
    <w:rsid w:val="00D2733B"/>
    <w:rsid w:val="00D37B32"/>
    <w:rsid w:val="00D37F92"/>
    <w:rsid w:val="00D4651A"/>
    <w:rsid w:val="00D52466"/>
    <w:rsid w:val="00D5309D"/>
    <w:rsid w:val="00D53659"/>
    <w:rsid w:val="00D53BB7"/>
    <w:rsid w:val="00D55979"/>
    <w:rsid w:val="00D56BC7"/>
    <w:rsid w:val="00D63FD3"/>
    <w:rsid w:val="00D67464"/>
    <w:rsid w:val="00D71535"/>
    <w:rsid w:val="00D87E42"/>
    <w:rsid w:val="00D91E67"/>
    <w:rsid w:val="00DA4AA3"/>
    <w:rsid w:val="00DB11C9"/>
    <w:rsid w:val="00DB2998"/>
    <w:rsid w:val="00DC2927"/>
    <w:rsid w:val="00DC40D3"/>
    <w:rsid w:val="00DC4A8F"/>
    <w:rsid w:val="00DD191C"/>
    <w:rsid w:val="00DE12BE"/>
    <w:rsid w:val="00DE7C87"/>
    <w:rsid w:val="00DF6485"/>
    <w:rsid w:val="00E10480"/>
    <w:rsid w:val="00E10B1F"/>
    <w:rsid w:val="00E11C99"/>
    <w:rsid w:val="00E1542D"/>
    <w:rsid w:val="00E23C24"/>
    <w:rsid w:val="00E24EFF"/>
    <w:rsid w:val="00E32032"/>
    <w:rsid w:val="00E36588"/>
    <w:rsid w:val="00E40972"/>
    <w:rsid w:val="00E526E2"/>
    <w:rsid w:val="00E5543E"/>
    <w:rsid w:val="00E657C9"/>
    <w:rsid w:val="00E65F47"/>
    <w:rsid w:val="00E66ABF"/>
    <w:rsid w:val="00E70DC4"/>
    <w:rsid w:val="00E769A8"/>
    <w:rsid w:val="00E819D8"/>
    <w:rsid w:val="00E84D61"/>
    <w:rsid w:val="00E86231"/>
    <w:rsid w:val="00E917F6"/>
    <w:rsid w:val="00E94E04"/>
    <w:rsid w:val="00E95238"/>
    <w:rsid w:val="00EA614F"/>
    <w:rsid w:val="00EA752D"/>
    <w:rsid w:val="00EB0097"/>
    <w:rsid w:val="00EB0F9A"/>
    <w:rsid w:val="00EB2B4D"/>
    <w:rsid w:val="00EB7277"/>
    <w:rsid w:val="00EC109A"/>
    <w:rsid w:val="00EC4AA5"/>
    <w:rsid w:val="00EC4CC4"/>
    <w:rsid w:val="00EC4E5D"/>
    <w:rsid w:val="00ED062B"/>
    <w:rsid w:val="00ED1F36"/>
    <w:rsid w:val="00ED42BB"/>
    <w:rsid w:val="00EE58A2"/>
    <w:rsid w:val="00EE60C6"/>
    <w:rsid w:val="00EF164C"/>
    <w:rsid w:val="00EF2E23"/>
    <w:rsid w:val="00F04724"/>
    <w:rsid w:val="00F052CE"/>
    <w:rsid w:val="00F116B0"/>
    <w:rsid w:val="00F13B88"/>
    <w:rsid w:val="00F235AD"/>
    <w:rsid w:val="00F252BD"/>
    <w:rsid w:val="00F27246"/>
    <w:rsid w:val="00F32847"/>
    <w:rsid w:val="00F33AEA"/>
    <w:rsid w:val="00F34152"/>
    <w:rsid w:val="00F35A19"/>
    <w:rsid w:val="00F477F1"/>
    <w:rsid w:val="00F50A81"/>
    <w:rsid w:val="00F52223"/>
    <w:rsid w:val="00F53A08"/>
    <w:rsid w:val="00F619A0"/>
    <w:rsid w:val="00F62F4D"/>
    <w:rsid w:val="00F651E3"/>
    <w:rsid w:val="00F66F92"/>
    <w:rsid w:val="00F77BCC"/>
    <w:rsid w:val="00F827E3"/>
    <w:rsid w:val="00F86BF6"/>
    <w:rsid w:val="00F91A0C"/>
    <w:rsid w:val="00F935E4"/>
    <w:rsid w:val="00FA1CA9"/>
    <w:rsid w:val="00FB2A40"/>
    <w:rsid w:val="00FB4774"/>
    <w:rsid w:val="00FC0C4B"/>
    <w:rsid w:val="00FD5033"/>
    <w:rsid w:val="00FD5611"/>
    <w:rsid w:val="00FD68DD"/>
    <w:rsid w:val="00FE194E"/>
    <w:rsid w:val="00FE494A"/>
    <w:rsid w:val="00FF1E0E"/>
    <w:rsid w:val="00FF2A84"/>
    <w:rsid w:val="00FF68DD"/>
    <w:rsid w:val="02322FC0"/>
    <w:rsid w:val="03634910"/>
    <w:rsid w:val="038D403C"/>
    <w:rsid w:val="04456DD7"/>
    <w:rsid w:val="04682F74"/>
    <w:rsid w:val="053C0C8A"/>
    <w:rsid w:val="05A27CD1"/>
    <w:rsid w:val="0AEE2945"/>
    <w:rsid w:val="0D997137"/>
    <w:rsid w:val="127D0090"/>
    <w:rsid w:val="13D1528B"/>
    <w:rsid w:val="154E3AF4"/>
    <w:rsid w:val="155847B5"/>
    <w:rsid w:val="159272EB"/>
    <w:rsid w:val="17101620"/>
    <w:rsid w:val="183735A3"/>
    <w:rsid w:val="18943A9B"/>
    <w:rsid w:val="1AF76B1A"/>
    <w:rsid w:val="1CA52ED1"/>
    <w:rsid w:val="1CDE4BC1"/>
    <w:rsid w:val="20D41925"/>
    <w:rsid w:val="2230763B"/>
    <w:rsid w:val="28E40532"/>
    <w:rsid w:val="290D1835"/>
    <w:rsid w:val="29A2400F"/>
    <w:rsid w:val="2A3B2B86"/>
    <w:rsid w:val="2A68364D"/>
    <w:rsid w:val="2B922D27"/>
    <w:rsid w:val="2CEA433C"/>
    <w:rsid w:val="2ECA254A"/>
    <w:rsid w:val="30856D77"/>
    <w:rsid w:val="30A52729"/>
    <w:rsid w:val="30F32F74"/>
    <w:rsid w:val="33BE07F4"/>
    <w:rsid w:val="35A05761"/>
    <w:rsid w:val="37560CE5"/>
    <w:rsid w:val="37EF7CE8"/>
    <w:rsid w:val="38256841"/>
    <w:rsid w:val="39370B4E"/>
    <w:rsid w:val="3B076C5C"/>
    <w:rsid w:val="3C724F92"/>
    <w:rsid w:val="3DA96C7C"/>
    <w:rsid w:val="3E641443"/>
    <w:rsid w:val="44B93F71"/>
    <w:rsid w:val="44D72D20"/>
    <w:rsid w:val="44EA5901"/>
    <w:rsid w:val="46D010F3"/>
    <w:rsid w:val="471D2860"/>
    <w:rsid w:val="48310421"/>
    <w:rsid w:val="4976620A"/>
    <w:rsid w:val="4B667407"/>
    <w:rsid w:val="4C0B5255"/>
    <w:rsid w:val="4C1E1D08"/>
    <w:rsid w:val="4D48652A"/>
    <w:rsid w:val="4D673998"/>
    <w:rsid w:val="4E3E01D8"/>
    <w:rsid w:val="4F8315BC"/>
    <w:rsid w:val="4FCE2CF5"/>
    <w:rsid w:val="50BB0D6D"/>
    <w:rsid w:val="51A46D06"/>
    <w:rsid w:val="532A502A"/>
    <w:rsid w:val="557A1883"/>
    <w:rsid w:val="55CC2709"/>
    <w:rsid w:val="56016694"/>
    <w:rsid w:val="570117CE"/>
    <w:rsid w:val="58385FF7"/>
    <w:rsid w:val="596F497E"/>
    <w:rsid w:val="59ED1802"/>
    <w:rsid w:val="5B8619B1"/>
    <w:rsid w:val="5C535567"/>
    <w:rsid w:val="5DDD08E1"/>
    <w:rsid w:val="5F555381"/>
    <w:rsid w:val="612D6A9D"/>
    <w:rsid w:val="62890183"/>
    <w:rsid w:val="62B152D2"/>
    <w:rsid w:val="632B1962"/>
    <w:rsid w:val="63D234A8"/>
    <w:rsid w:val="657B1AF2"/>
    <w:rsid w:val="66CA4CC3"/>
    <w:rsid w:val="6A5B0F11"/>
    <w:rsid w:val="6EB1342D"/>
    <w:rsid w:val="6F8D5D67"/>
    <w:rsid w:val="70F67A63"/>
    <w:rsid w:val="736211CC"/>
    <w:rsid w:val="749323E1"/>
    <w:rsid w:val="759D7F32"/>
    <w:rsid w:val="75F40C15"/>
    <w:rsid w:val="766748CC"/>
    <w:rsid w:val="78E44AB1"/>
    <w:rsid w:val="7BA84280"/>
    <w:rsid w:val="7E226F8F"/>
    <w:rsid w:val="7FB76F30"/>
    <w:rsid w:val="FFDBC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rPr>
      <w:rFonts w:ascii="Calibri" w:hAnsi="Calibri" w:eastAsia="宋体" w:cs="Times New Roman"/>
    </w:rPr>
  </w:style>
  <w:style w:type="paragraph" w:styleId="3">
    <w:name w:val="Document Map"/>
    <w:basedOn w:val="1"/>
    <w:link w:val="14"/>
    <w:qFormat/>
    <w:uiPriority w:val="0"/>
    <w:rPr>
      <w:rFonts w:ascii="宋体" w:eastAsia="宋体"/>
      <w:sz w:val="18"/>
      <w:szCs w:val="18"/>
    </w:rPr>
  </w:style>
  <w:style w:type="paragraph" w:styleId="4">
    <w:name w:val="annotation text"/>
    <w:basedOn w:val="1"/>
    <w:semiHidden/>
    <w:unhideWhenUsed/>
    <w:qFormat/>
    <w:uiPriority w:val="0"/>
    <w:pPr>
      <w:jc w:val="left"/>
    </w:pPr>
  </w:style>
  <w:style w:type="paragraph" w:styleId="5">
    <w:name w:val="Balloon Text"/>
    <w:basedOn w:val="1"/>
    <w:link w:val="16"/>
    <w:autoRedefine/>
    <w:qFormat/>
    <w:uiPriority w:val="0"/>
    <w:rPr>
      <w:sz w:val="18"/>
      <w:szCs w:val="18"/>
    </w:rPr>
  </w:style>
  <w:style w:type="paragraph" w:styleId="6">
    <w:name w:val="footer"/>
    <w:basedOn w:val="1"/>
    <w:link w:val="13"/>
    <w:autoRedefine/>
    <w:qFormat/>
    <w:uiPriority w:val="99"/>
    <w:pPr>
      <w:tabs>
        <w:tab w:val="center" w:pos="4153"/>
        <w:tab w:val="right" w:pos="8306"/>
      </w:tabs>
      <w:snapToGrid w:val="0"/>
      <w:jc w:val="left"/>
    </w:pPr>
    <w:rPr>
      <w:sz w:val="18"/>
      <w:szCs w:val="18"/>
    </w:rPr>
  </w:style>
  <w:style w:type="paragraph" w:styleId="7">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qFormat/>
    <w:uiPriority w:val="0"/>
    <w:rPr>
      <w:color w:val="0000FF"/>
      <w:u w:val="single"/>
    </w:rPr>
  </w:style>
  <w:style w:type="character" w:customStyle="1" w:styleId="12">
    <w:name w:val="页眉 字符"/>
    <w:basedOn w:val="10"/>
    <w:link w:val="7"/>
    <w:autoRedefine/>
    <w:qFormat/>
    <w:uiPriority w:val="0"/>
    <w:rPr>
      <w:rFonts w:asciiTheme="minorHAnsi" w:hAnsiTheme="minorHAnsi" w:eastAsiaTheme="minorEastAsia" w:cstheme="minorBidi"/>
      <w:kern w:val="2"/>
      <w:sz w:val="18"/>
      <w:szCs w:val="18"/>
    </w:rPr>
  </w:style>
  <w:style w:type="character" w:customStyle="1" w:styleId="13">
    <w:name w:val="页脚 字符"/>
    <w:basedOn w:val="10"/>
    <w:link w:val="6"/>
    <w:autoRedefine/>
    <w:qFormat/>
    <w:uiPriority w:val="99"/>
    <w:rPr>
      <w:rFonts w:asciiTheme="minorHAnsi" w:hAnsiTheme="minorHAnsi" w:eastAsiaTheme="minorEastAsia" w:cstheme="minorBidi"/>
      <w:kern w:val="2"/>
      <w:sz w:val="18"/>
      <w:szCs w:val="18"/>
    </w:rPr>
  </w:style>
  <w:style w:type="character" w:customStyle="1" w:styleId="14">
    <w:name w:val="文档结构图 字符"/>
    <w:basedOn w:val="10"/>
    <w:link w:val="3"/>
    <w:autoRedefine/>
    <w:qFormat/>
    <w:uiPriority w:val="0"/>
    <w:rPr>
      <w:rFonts w:ascii="宋体" w:hAnsiTheme="minorHAnsi" w:cstheme="minorBidi"/>
      <w:kern w:val="2"/>
      <w:sz w:val="18"/>
      <w:szCs w:val="18"/>
    </w:rPr>
  </w:style>
  <w:style w:type="paragraph" w:customStyle="1" w:styleId="15">
    <w:name w:val="列表段落1"/>
    <w:basedOn w:val="1"/>
    <w:autoRedefine/>
    <w:unhideWhenUsed/>
    <w:qFormat/>
    <w:uiPriority w:val="99"/>
    <w:pPr>
      <w:ind w:firstLine="420" w:firstLineChars="200"/>
    </w:pPr>
  </w:style>
  <w:style w:type="character" w:customStyle="1" w:styleId="16">
    <w:name w:val="批注框文本 字符"/>
    <w:basedOn w:val="10"/>
    <w:link w:val="5"/>
    <w:autoRedefine/>
    <w:qFormat/>
    <w:uiPriority w:val="0"/>
    <w:rPr>
      <w:rFonts w:asciiTheme="minorHAnsi" w:hAnsiTheme="minorHAnsi" w:eastAsiaTheme="minorEastAsia" w:cstheme="minorBidi"/>
      <w:kern w:val="2"/>
      <w:sz w:val="18"/>
      <w:szCs w:val="18"/>
    </w:rPr>
  </w:style>
  <w:style w:type="paragraph" w:customStyle="1" w:styleId="17">
    <w:name w:val="Revision"/>
    <w:autoRedefine/>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1716</Words>
  <Characters>1863</Characters>
  <Lines>72</Lines>
  <Paragraphs>84</Paragraphs>
  <TotalTime>4</TotalTime>
  <ScaleCrop>false</ScaleCrop>
  <LinksUpToDate>false</LinksUpToDate>
  <CharactersWithSpaces>2052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2020-02-20T23:26:00Z</dcterms:created>
  <dc:creator>王立志</dc:creator>
  <cp:lastModifiedBy>滇韵</cp:lastModifiedBy>
  <dcterms:modified xsi:type="dcterms:W3CDTF">2024-09-30T02:00:12Z</dcterms:modified>
  <cp:revision>939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C49C292C627F42B39D107BDE0DF0A2A6</vt:lpwstr>
  </property>
</Properties>
</file>