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耿马傣族佤族自治县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人力资源和社会保障局政府信息依申请公开工作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仿宋" w:cs="仿宋"/>
          <w:color w:val="auto"/>
          <w:sz w:val="32"/>
          <w:szCs w:val="40"/>
          <w:u w:val="none"/>
        </w:rPr>
        <w:br w:type="page"/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耿马自治县人力资源和社会保障局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7C687DAB"/>
    <w:rsid w:val="010142B1"/>
    <w:rsid w:val="045E4364"/>
    <w:rsid w:val="084F7A98"/>
    <w:rsid w:val="086A0A59"/>
    <w:rsid w:val="0FCF5143"/>
    <w:rsid w:val="16E10CD2"/>
    <w:rsid w:val="1AA37471"/>
    <w:rsid w:val="1D48553B"/>
    <w:rsid w:val="1EBF3472"/>
    <w:rsid w:val="223703DD"/>
    <w:rsid w:val="2AA4527B"/>
    <w:rsid w:val="2B2777F2"/>
    <w:rsid w:val="2B8207CF"/>
    <w:rsid w:val="2BEA6D97"/>
    <w:rsid w:val="36364B95"/>
    <w:rsid w:val="38C646CC"/>
    <w:rsid w:val="397035FC"/>
    <w:rsid w:val="3A7D4B92"/>
    <w:rsid w:val="3C67057B"/>
    <w:rsid w:val="3F2656D1"/>
    <w:rsid w:val="3F3063E4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B6913D9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2024-07-09T02:11:05Z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F3A51D89F44446FD91EF9F8B0820D749</vt:lpwstr>
  </property>
</Properties>
</file>