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FF0000"/>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 xml:space="preserve"> </w:t>
      </w: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widowControl w:val="0"/>
        <w:wordWrap/>
        <w:adjustRightInd/>
        <w:snapToGrid/>
        <w:spacing w:afterLines="50" w:line="540" w:lineRule="exact"/>
        <w:jc w:val="center"/>
        <w:textAlignment w:val="auto"/>
        <w:outlineLvl w:val="9"/>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widowControl w:val="0"/>
        <w:wordWrap/>
        <w:adjustRightInd/>
        <w:snapToGrid/>
        <w:spacing w:afterLines="50" w:line="540" w:lineRule="exact"/>
        <w:jc w:val="center"/>
        <w:textAlignment w:val="auto"/>
        <w:outlineLvl w:val="9"/>
        <w:rPr>
          <w:rFonts w:hint="eastAsia" w:ascii="宋体" w:hAnsi="宋体" w:eastAsia="宋体" w:cs="宋体"/>
          <w:b w:val="0"/>
          <w:bCs w:val="0"/>
          <w:strike w:val="0"/>
          <w:dstrike w:val="0"/>
          <w:color w:val="FF0000"/>
          <w:sz w:val="28"/>
          <w:szCs w:val="28"/>
          <w:lang w:eastAsia="zh-CN"/>
        </w:rPr>
      </w:pPr>
    </w:p>
    <w:p>
      <w:pPr>
        <w:widowControl w:val="0"/>
        <w:numPr>
          <w:numId w:val="0"/>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widowControl w:val="0"/>
        <w:numPr>
          <w:numId w:val="0"/>
        </w:numPr>
        <w:wordWrap/>
        <w:adjustRightInd/>
        <w:snapToGrid/>
        <w:spacing w:line="540" w:lineRule="exact"/>
        <w:ind w:firstLine="420" w:firstLineChars="0"/>
        <w:textAlignment w:val="auto"/>
        <w:outlineLvl w:val="9"/>
        <w:rPr>
          <w:rFonts w:hint="eastAsia" w:ascii="方正仿宋_GBK" w:hAnsi="方正仿宋_GBK" w:eastAsia="方正仿宋_GBK" w:cs="方正仿宋_GBK"/>
          <w:strike w:val="0"/>
          <w:dstrike w:val="0"/>
          <w:sz w:val="32"/>
          <w:szCs w:val="32"/>
          <w:lang w:val="en-US" w:eastAsia="zh-CN"/>
        </w:rPr>
      </w:pPr>
      <w:r>
        <w:rPr>
          <w:rFonts w:hint="eastAsia" w:ascii="仿宋" w:hAnsi="仿宋" w:eastAsia="仿宋" w:cs="仿宋"/>
          <w:strike w:val="0"/>
          <w:dstrike w:val="0"/>
          <w:sz w:val="32"/>
          <w:szCs w:val="32"/>
          <w:lang w:val="en-US" w:eastAsia="zh-CN"/>
        </w:rPr>
        <w:t>地名命名、更名审批</w:t>
      </w:r>
    </w:p>
    <w:p>
      <w:pPr>
        <w:widowControl w:val="0"/>
        <w:numPr>
          <w:numId w:val="0"/>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widowControl w:val="0"/>
        <w:numPr>
          <w:numId w:val="0"/>
        </w:numPr>
        <w:wordWrap/>
        <w:adjustRightInd/>
        <w:snapToGrid/>
        <w:spacing w:line="540" w:lineRule="exact"/>
        <w:ind w:firstLine="420" w:firstLineChars="0"/>
        <w:textAlignment w:val="auto"/>
        <w:outlineLvl w:val="9"/>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省民政厅</w:t>
      </w:r>
    </w:p>
    <w:p>
      <w:pPr>
        <w:widowControl w:val="0"/>
        <w:numPr>
          <w:numId w:val="0"/>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widowControl w:val="0"/>
        <w:numPr>
          <w:numId w:val="0"/>
        </w:numPr>
        <w:wordWrap/>
        <w:adjustRightInd/>
        <w:snapToGrid/>
        <w:spacing w:line="540" w:lineRule="exact"/>
        <w:ind w:firstLine="420" w:firstLineChars="0"/>
        <w:textAlignment w:val="auto"/>
        <w:outlineLvl w:val="9"/>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县级有关部门</w:t>
      </w:r>
    </w:p>
    <w:p>
      <w:pPr>
        <w:widowControl w:val="0"/>
        <w:numPr>
          <w:numId w:val="0"/>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widowControl w:val="0"/>
        <w:numPr>
          <w:numId w:val="0"/>
        </w:numPr>
        <w:wordWrap/>
        <w:adjustRightInd/>
        <w:snapToGrid/>
        <w:spacing w:line="540" w:lineRule="exact"/>
        <w:ind w:firstLine="420" w:firstLineChars="0"/>
        <w:textAlignment w:val="auto"/>
        <w:outlineLvl w:val="9"/>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《地名管理条例》</w:t>
      </w:r>
    </w:p>
    <w:p>
      <w:pPr>
        <w:widowControl w:val="0"/>
        <w:numPr>
          <w:numId w:val="0"/>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widowControl w:val="0"/>
        <w:numPr>
          <w:numId w:val="0"/>
        </w:numPr>
        <w:wordWrap/>
        <w:adjustRightInd/>
        <w:snapToGrid/>
        <w:spacing w:line="540" w:lineRule="exact"/>
        <w:ind w:firstLine="420" w:firstLineChars="0"/>
        <w:textAlignment w:val="auto"/>
        <w:outlineLvl w:val="9"/>
        <w:rPr>
          <w:rFonts w:hint="eastAsia"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val="en-US" w:eastAsia="zh-CN"/>
        </w:rPr>
        <w:t>具有重要地理方位意义的水利设施命名、更名审批（省水利厅/县级权限）</w:t>
      </w:r>
    </w:p>
    <w:p>
      <w:pPr>
        <w:widowControl w:val="0"/>
        <w:numPr>
          <w:numId w:val="0"/>
        </w:numPr>
        <w:wordWrap/>
        <w:adjustRightInd/>
        <w:snapToGrid/>
        <w:spacing w:line="540" w:lineRule="exact"/>
        <w:ind w:firstLine="420" w:firstLineChars="0"/>
        <w:textAlignment w:val="auto"/>
        <w:outlineLvl w:val="9"/>
        <w:rPr>
          <w:rFonts w:hint="eastAsia" w:ascii="仿宋" w:hAnsi="仿宋" w:eastAsia="仿宋" w:cs="仿宋"/>
          <w:strike w:val="0"/>
          <w:dstrike w:val="0"/>
          <w:sz w:val="32"/>
          <w:szCs w:val="32"/>
          <w:lang w:val="en-US" w:eastAsia="zh-CN"/>
        </w:rPr>
      </w:pPr>
    </w:p>
    <w:p>
      <w:pPr>
        <w:widowControl w:val="0"/>
        <w:wordWrap/>
        <w:adjustRightInd/>
        <w:snapToGrid/>
        <w:spacing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widowControl w:val="0"/>
        <w:wordWrap/>
        <w:adjustRightInd/>
        <w:snapToGrid/>
        <w:spacing w:afterLines="50" w:line="540" w:lineRule="exact"/>
        <w:jc w:val="center"/>
        <w:textAlignment w:val="auto"/>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both"/>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widowControl w:val="0"/>
        <w:numPr>
          <w:numId w:val="0"/>
        </w:numPr>
        <w:wordWrap/>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具有重要地理方位意义的水利设施命名审批</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【00011110800401】</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p>
    <w:p>
      <w:pPr>
        <w:widowControl w:val="0"/>
        <w:numPr>
          <w:ilvl w:val="0"/>
          <w:numId w:val="1"/>
        </w:numPr>
        <w:wordWrap/>
        <w:adjustRightInd/>
        <w:snapToGrid/>
        <w:spacing w:line="540" w:lineRule="exact"/>
        <w:textAlignment w:val="auto"/>
        <w:outlineLvl w:val="9"/>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地名命名、更名审批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00011110800Y</w:t>
      </w:r>
      <w:r>
        <w:rPr>
          <w:rFonts w:hint="eastAsia" w:ascii="方正仿宋_GBK" w:hAnsi="方正仿宋_GBK" w:eastAsia="方正仿宋_GBK" w:cs="方正仿宋_GBK"/>
          <w:strike w:val="0"/>
          <w:dstrike w:val="0"/>
          <w:sz w:val="28"/>
          <w:szCs w:val="28"/>
          <w:lang w:val="en-US" w:eastAsia="zh-CN"/>
        </w:rPr>
        <w:t>】</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具有重要地理方位意义的水利设施命名、更名审批（县级权限）【000111108004】</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具有重要地理方位意义的水利设施命名审批(00011110800401)</w:t>
      </w:r>
    </w:p>
    <w:p>
      <w:pPr>
        <w:spacing w:line="360" w:lineRule="auto"/>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widowControl w:val="0"/>
        <w:numPr>
          <w:numId w:val="0"/>
        </w:numPr>
        <w:wordWrap/>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widowControl w:val="0"/>
        <w:numPr>
          <w:numId w:val="0"/>
        </w:numPr>
        <w:wordWrap/>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（1）《地名管理条例》</w:t>
      </w:r>
    </w:p>
    <w:p>
      <w:pPr>
        <w:widowControl w:val="0"/>
        <w:numPr>
          <w:numId w:val="0"/>
        </w:numPr>
        <w:wordWrap/>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widowControl w:val="0"/>
        <w:numPr>
          <w:numId w:val="0"/>
        </w:numPr>
        <w:wordWrap/>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县级水利部门</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widowControl w:val="0"/>
        <w:numPr>
          <w:ilvl w:val="0"/>
          <w:numId w:val="1"/>
        </w:numPr>
        <w:wordWrap/>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widowControl w:val="0"/>
        <w:numPr>
          <w:ilvl w:val="0"/>
          <w:numId w:val="1"/>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（1）具有重要地理方位意义的水利设施的命名。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法律、行政法规对地名命名规则另有规定的，从其规定。</w:t>
      </w:r>
    </w:p>
    <w:p>
      <w:pPr>
        <w:widowControl w:val="0"/>
        <w:numPr>
          <w:ilvl w:val="0"/>
          <w:numId w:val="1"/>
        </w:numPr>
        <w:wordWrap/>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widowControl w:val="0"/>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（1）针对具有重要地理方位意义的水利设施的命名，水利部提供申请样例模板，方便服务对象开展有关业务。</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（2）计划实现具有重要地理方位意义的水利设施的命名业务的网上办理。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（3）将承诺审批时限由10个工作日压减至5个工作日。</w:t>
      </w:r>
    </w:p>
    <w:p>
      <w:pPr>
        <w:widowControl w:val="0"/>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（2）县级以上人民政府地名行政主管部门和其他有关部门可以委托第三方机构对地名的命名情况进行评估。</w:t>
      </w:r>
    </w:p>
    <w:p>
      <w:pPr>
        <w:widowControl w:val="0"/>
        <w:numPr>
          <w:ilvl w:val="0"/>
          <w:numId w:val="1"/>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地名命名申请书，包括命名的方案及理由和地理实体的位置、规模、性质等基本情况。</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widowControl w:val="0"/>
        <w:numPr>
          <w:ilvl w:val="0"/>
          <w:numId w:val="1"/>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widowControl w:val="0"/>
        <w:numPr>
          <w:ilvl w:val="0"/>
          <w:numId w:val="1"/>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（1）申请；（2）受理；（3）审查；（4）决定；（5）公告。</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widowControl w:val="0"/>
        <w:numPr>
          <w:ilvl w:val="0"/>
          <w:numId w:val="1"/>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5</w:t>
      </w:r>
      <w:r>
        <w:rPr>
          <w:rFonts w:hint="default" w:ascii="方正仿宋_GBK" w:hAnsi="方正仿宋_GBK" w:eastAsia="方正仿宋_GBK" w:cs="方正仿宋_GBK"/>
          <w:b w:val="0"/>
          <w:bCs w:val="0"/>
          <w:strike w:val="0"/>
          <w:dstrike w:val="0"/>
          <w:color w:val="auto"/>
          <w:sz w:val="28"/>
          <w:szCs w:val="28"/>
          <w:lang w:val="en-US" w:eastAsia="zh-CN"/>
        </w:rPr>
        <w:t>个工作日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依法进行专家评审另需时间不计算在该时限</w:t>
      </w:r>
    </w:p>
    <w:p>
      <w:pPr>
        <w:widowControl w:val="0"/>
        <w:numPr>
          <w:ilvl w:val="0"/>
          <w:numId w:val="1"/>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ilvl w:val="0"/>
          <w:numId w:val="1"/>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其他</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公告</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无期限</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widowControl w:val="0"/>
        <w:numPr>
          <w:numId w:val="0"/>
        </w:numPr>
        <w:wordWrap/>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widowControl w:val="0"/>
        <w:numPr>
          <w:ilvl w:val="0"/>
          <w:numId w:val="1"/>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widowControl w:val="0"/>
        <w:numPr>
          <w:numId w:val="0"/>
        </w:numPr>
        <w:wordWrap/>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ilvl w:val="0"/>
          <w:numId w:val="1"/>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widowControl w:val="0"/>
        <w:numPr>
          <w:numId w:val="0"/>
        </w:numPr>
        <w:wordWrap/>
        <w:adjustRightInd/>
        <w:snapToGrid/>
        <w:spacing w:line="54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ilvl w:val="0"/>
          <w:numId w:val="1"/>
        </w:numPr>
        <w:wordWrap/>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widowControl w:val="0"/>
        <w:numPr>
          <w:numId w:val="0"/>
        </w:numPr>
        <w:wordWrap/>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ilvl w:val="0"/>
          <w:numId w:val="1"/>
        </w:numPr>
        <w:wordWrap/>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widowControl w:val="0"/>
        <w:numPr>
          <w:numId w:val="0"/>
        </w:numPr>
        <w:wordWrap/>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县级水利部门</w:t>
      </w:r>
    </w:p>
    <w:p>
      <w:pPr>
        <w:widowControl w:val="0"/>
        <w:numPr>
          <w:ilvl w:val="0"/>
          <w:numId w:val="1"/>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备注</w:t>
      </w: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p>
    <w:p>
      <w:pPr>
        <w:jc w:val="center"/>
        <w:outlineLvl w:val="9"/>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具有重要地理方位意义的水利设施更名审批</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【00011110800402】</w:t>
      </w:r>
    </w:p>
    <w:p>
      <w:pPr>
        <w:jc w:val="center"/>
        <w:outlineLvl w:val="9"/>
        <w:rPr>
          <w:rFonts w:hint="eastAsia" w:ascii="方正小标宋_GBK" w:hAnsi="方正小标宋_GBK" w:eastAsia="方正小标宋_GBK" w:cs="方正小标宋_GBK"/>
          <w:b w:val="0"/>
          <w:bCs w:val="0"/>
          <w:strike w:val="0"/>
          <w:dstrike w:val="0"/>
          <w:color w:val="auto"/>
          <w:sz w:val="40"/>
          <w:szCs w:val="40"/>
          <w:lang w:val="en-US" w:eastAsia="zh-CN"/>
        </w:rPr>
      </w:pPr>
    </w:p>
    <w:p>
      <w:pPr>
        <w:widowControl w:val="0"/>
        <w:numPr>
          <w:ilvl w:val="0"/>
          <w:numId w:val="2"/>
        </w:numPr>
        <w:wordWrap/>
        <w:adjustRightInd/>
        <w:snapToGrid/>
        <w:spacing w:line="540" w:lineRule="exact"/>
        <w:textAlignment w:val="auto"/>
        <w:outlineLvl w:val="9"/>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基本要素</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spacing w:line="360" w:lineRule="auto"/>
        <w:ind w:firstLine="560" w:firstLineChars="200"/>
        <w:outlineLvl w:val="9"/>
        <w:rPr>
          <w:rFonts w:hint="eastAsia" w:ascii="仿宋" w:hAnsi="仿宋" w:eastAsia="仿宋" w:cs="仿宋"/>
          <w:strike w:val="0"/>
          <w:dstrike w:val="0"/>
          <w:sz w:val="28"/>
          <w:szCs w:val="28"/>
          <w:lang w:val="en-US"/>
        </w:rPr>
      </w:pPr>
      <w:r>
        <w:rPr>
          <w:rFonts w:hint="eastAsia" w:ascii="方正仿宋_GBK" w:hAnsi="方正仿宋_GBK" w:eastAsia="方正仿宋_GBK" w:cs="方正仿宋_GBK"/>
          <w:strike w:val="0"/>
          <w:dstrike w:val="0"/>
          <w:sz w:val="28"/>
          <w:szCs w:val="28"/>
          <w:lang w:val="en-US"/>
        </w:rPr>
        <w:t>地名命名、更名审批</w:t>
      </w:r>
      <w:r>
        <w:rPr>
          <w:rFonts w:hint="eastAsia"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rPr>
        <w:t>00011110800Y</w:t>
      </w:r>
      <w:r>
        <w:rPr>
          <w:rFonts w:hint="eastAsia" w:ascii="方正仿宋_GBK" w:hAnsi="方正仿宋_GBK" w:eastAsia="方正仿宋_GBK" w:cs="方正仿宋_GBK"/>
          <w:strike w:val="0"/>
          <w:dstrike w:val="0"/>
          <w:sz w:val="28"/>
          <w:szCs w:val="28"/>
          <w:lang w:val="en-US" w:eastAsia="zh-CN"/>
        </w:rPr>
        <w:t>】</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outlineLvl w:val="9"/>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rPr>
        <w:t>具有重要地理方位意义的水利设施命名、更名审批（县级权限）【000111108004】</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outlineLvl w:val="9"/>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具有重要地理方位意义的水利设施更名审批(00011110800402)</w:t>
      </w:r>
    </w:p>
    <w:p>
      <w:pPr>
        <w:spacing w:line="360" w:lineRule="auto"/>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widowControl w:val="0"/>
        <w:numPr>
          <w:numId w:val="0"/>
        </w:numPr>
        <w:wordWrap/>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widowControl w:val="0"/>
        <w:numPr>
          <w:numId w:val="0"/>
        </w:numPr>
        <w:wordWrap/>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（1）《地名管理条例》</w:t>
      </w:r>
    </w:p>
    <w:p>
      <w:pPr>
        <w:widowControl w:val="0"/>
        <w:numPr>
          <w:numId w:val="0"/>
        </w:numPr>
        <w:wordWrap/>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widowControl w:val="0"/>
        <w:numPr>
          <w:numId w:val="0"/>
        </w:numPr>
        <w:wordWrap/>
        <w:adjustRightInd/>
        <w:snapToGrid/>
        <w:spacing w:line="54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县级水利部门</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县级</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无对应政务服务事项</w:t>
      </w:r>
    </w:p>
    <w:p>
      <w:pPr>
        <w:widowControl w:val="0"/>
        <w:numPr>
          <w:ilvl w:val="0"/>
          <w:numId w:val="2"/>
        </w:numPr>
        <w:wordWrap/>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行政许可事项类型</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其他型</w:t>
      </w:r>
    </w:p>
    <w:p>
      <w:pPr>
        <w:widowControl w:val="0"/>
        <w:numPr>
          <w:ilvl w:val="0"/>
          <w:numId w:val="2"/>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行政许可条件</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（1）具有重要地理方位意义的水利设施的更名。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《地名管理条例》第九条：地名由专名和通名两部分组成。地名的命名应当遵循下列规定：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（一）含义明确、健康，不违背公序良俗；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（二）符合地理实体的实际地域、规模、性质等特征；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（三）使用国家通用语言文字，避免使用生僻字；</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（四）一般不以人名作地名，不以国家领导人的名字作地名；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（五）不以外国人名、地名作地名；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（六）不以企业名称或者商标名称作地名；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（七）国内著名的自然地理实体名称，全国范围内的县级以上行政区划名称，不应重名，并避免同音；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（九）不以国内著名的自然地理实体、历史文化遗产遗址、超出本行政区域范围的地理实体名称作行政区划专名；</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（十）具有重要地理方位意义的交通运输、水利、电力、通信、气象等设施名称，一般应当与所在地地名统一。</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法律、行政法规对地名命名规则另有规定的，从其规定。</w:t>
      </w:r>
    </w:p>
    <w:p>
      <w:pPr>
        <w:widowControl w:val="0"/>
        <w:numPr>
          <w:ilvl w:val="0"/>
          <w:numId w:val="2"/>
        </w:numPr>
        <w:wordWrap/>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hint="default" w:ascii="方正仿宋_GBK" w:hAnsi="方正仿宋_GBK" w:eastAsia="方正仿宋_GBK" w:cs="方正仿宋_GBK"/>
          <w:b w:val="0"/>
          <w:bCs w:val="0"/>
          <w:strike w:val="0"/>
          <w:dstrike w:val="0"/>
          <w:color w:val="auto"/>
          <w:sz w:val="28"/>
          <w:szCs w:val="28"/>
          <w:lang w:val="en-US" w:eastAsia="zh-CN"/>
        </w:rPr>
        <w:t>企业法人,事业单位法人,行政机关,其他组织</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default" w:ascii="方正仿宋_GBK" w:hAnsi="方正仿宋_GBK" w:eastAsia="方正仿宋_GBK" w:cs="方正仿宋_GBK"/>
          <w:b w:val="0"/>
          <w:bCs w:val="0"/>
          <w:strike w:val="0"/>
          <w:dstrike w:val="0"/>
          <w:color w:val="auto"/>
          <w:sz w:val="28"/>
          <w:szCs w:val="28"/>
          <w:lang w:val="en-US" w:eastAsia="zh-CN"/>
        </w:rPr>
        <w:t>无</w:t>
      </w:r>
    </w:p>
    <w:p>
      <w:pPr>
        <w:widowControl w:val="0"/>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（1）针对具有重要地理方位意义的水利设施的更名，水利部提供申请样例模板，方便服务对象开展有关业务。</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（2）计划实现具有重要地理方位意义的水利设施的更名业务的网上办理。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（3）将承诺审批时限由10个工作日压减至5个工作日。</w:t>
      </w:r>
    </w:p>
    <w:p>
      <w:pPr>
        <w:widowControl w:val="0"/>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（2）县级以上人民政府地名行政主管部门和其他有关部门可以委托第三方机构对地名的更名情况进行评估。</w:t>
      </w:r>
    </w:p>
    <w:p>
      <w:pPr>
        <w:widowControl w:val="0"/>
        <w:numPr>
          <w:ilvl w:val="0"/>
          <w:numId w:val="2"/>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申请材料</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地名更名申请书，包括更名的方案及理由和地理实体的位置、规模、性质等基本情况。</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《地名管理条例》第十一条：机关、企业事业单位、基层群众性自治组织等申请地名命名、更名应当提交申请书。申请书应当包括下列材料：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（一）命名、更名的方案及理由；</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（二）地理实体的位置、规模、性质等基本情况；</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（三）国务院地名行政主管部门规定应当提交的其他材料。</w:t>
      </w:r>
    </w:p>
    <w:p>
      <w:pPr>
        <w:spacing w:line="600" w:lineRule="exact"/>
        <w:ind w:firstLine="560" w:firstLineChars="200"/>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widowControl w:val="0"/>
        <w:numPr>
          <w:ilvl w:val="0"/>
          <w:numId w:val="2"/>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中介服务</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无</w:t>
      </w:r>
    </w:p>
    <w:p>
      <w:pPr>
        <w:widowControl w:val="0"/>
        <w:numPr>
          <w:ilvl w:val="0"/>
          <w:numId w:val="2"/>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审批程序</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（1）申请；（2）受理；（3）审查；（4）决定；（5）公告。</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申请人要求行政机关对公示内容予以说明、解释的，行政机关应当说明、解释，提供准确、可靠的信息。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第32条：行政机关对申请人提出的行政许可申请，应当根据下列情况分别作出处理：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第34条：行政机关应当对申请人提交的申请材料进行审查。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第37条：行政机关对行政许可申请进行审查后，除当场作出行政许可决定的外，应当在法定期限内按照规定程序作出行政许可决定。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第38条：申请人的申请符合法定条件、标准的，行政机关应当依法作出准予行政许可的书面决定。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（一）委托人和代理人的基本情况；</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（二）代为提出水行政许可申请、递交有关材料、收受法律文书、接受询问等代理事项和代理权限；</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（三）代理起止日期。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水行政许可实施机关应当根据申请人的要求，对公示内容予以说明、解释。</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第23条：水行政许可实施机关收到水行政许可申请后，应当对下列事项进行审查：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第24条：水行政许可实施机关对水行政许可申请审查后，应当根据下列情况分别作出处理：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第27条：水行政许可实施机关受理水行政许可申请后应当进行审查。审查一般以书面形式进行。</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第34条：申请人在水行政许可实施机关作出水行政许可决定之前，可以书面申请撤回水行政许可申请。</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是</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28"/>
          <w:szCs w:val="28"/>
          <w:lang w:val="en-US" w:eastAsia="zh-CN"/>
        </w:rPr>
        <w:t>否</w:t>
      </w:r>
    </w:p>
    <w:p>
      <w:pPr>
        <w:widowControl w:val="0"/>
        <w:numPr>
          <w:ilvl w:val="0"/>
          <w:numId w:val="2"/>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受理和审批时限</w:t>
      </w:r>
    </w:p>
    <w:p>
      <w:pPr>
        <w:spacing w:line="600" w:lineRule="exact"/>
        <w:ind w:firstLine="562" w:firstLineChars="200"/>
        <w:outlineLvl w:val="9"/>
        <w:rPr>
          <w:rFonts w:hint="default"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方正仿宋_GBK" w:hAnsi="方正仿宋_GBK" w:eastAsia="方正仿宋_GBK" w:cs="方正仿宋_GBK"/>
          <w:b w:val="0"/>
          <w:bCs w:val="0"/>
          <w:strike w:val="0"/>
          <w:dstrike w:val="0"/>
          <w:color w:val="auto"/>
          <w:sz w:val="28"/>
          <w:szCs w:val="28"/>
          <w:lang w:val="en-US" w:eastAsia="zh-CN"/>
        </w:rPr>
        <w:t>5个工作日</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方正仿宋_GBK" w:hAnsi="方正仿宋_GBK" w:eastAsia="方正仿宋_GBK" w:cs="方正仿宋_GBK"/>
          <w:b w:val="0"/>
          <w:bCs w:val="0"/>
          <w:strike w:val="0"/>
          <w:dstrike w:val="0"/>
          <w:color w:val="auto"/>
          <w:sz w:val="28"/>
          <w:szCs w:val="28"/>
          <w:lang w:val="en-US" w:eastAsia="zh-CN"/>
        </w:rPr>
        <w:t>20个工作日</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outlineLvl w:val="9"/>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方正仿宋_GBK" w:hAnsi="方正仿宋_GBK" w:eastAsia="方正仿宋_GBK" w:cs="方正仿宋_GBK"/>
          <w:b w:val="0"/>
          <w:bCs w:val="0"/>
          <w:strike w:val="0"/>
          <w:dstrike w:val="0"/>
          <w:color w:val="auto"/>
          <w:sz w:val="28"/>
          <w:szCs w:val="28"/>
          <w:lang w:val="en-US" w:eastAsia="zh-CN"/>
        </w:rPr>
        <w:t>5</w:t>
      </w:r>
      <w:r>
        <w:rPr>
          <w:rFonts w:hint="default" w:ascii="方正仿宋_GBK" w:hAnsi="方正仿宋_GBK" w:eastAsia="方正仿宋_GBK" w:cs="方正仿宋_GBK"/>
          <w:b w:val="0"/>
          <w:bCs w:val="0"/>
          <w:strike w:val="0"/>
          <w:dstrike w:val="0"/>
          <w:color w:val="auto"/>
          <w:sz w:val="28"/>
          <w:szCs w:val="28"/>
          <w:lang w:val="en-US" w:eastAsia="zh-CN"/>
        </w:rPr>
        <w:t>个工作日</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依法进行专家评审另需时间不超过7个工作日</w:t>
      </w:r>
    </w:p>
    <w:p>
      <w:pPr>
        <w:spacing w:line="600" w:lineRule="exact"/>
        <w:ind w:firstLine="560" w:firstLineChars="200"/>
        <w:outlineLvl w:val="9"/>
        <w:rPr>
          <w:rFonts w:hint="default" w:ascii="Times New Roman" w:hAnsi="Times New Roman" w:eastAsia="仿宋GB2312" w:cs="Times New Roman"/>
          <w:strike w:val="0"/>
          <w:dstrike w:val="0"/>
          <w:sz w:val="28"/>
          <w:szCs w:val="28"/>
          <w:lang w:val="en-US"/>
        </w:rPr>
      </w:pPr>
      <w:r>
        <w:rPr>
          <w:rFonts w:hint="default" w:ascii="方正仿宋_GBK" w:hAnsi="方正仿宋_GBK" w:eastAsia="方正仿宋_GBK" w:cs="方正仿宋_GBK"/>
          <w:b w:val="0"/>
          <w:bCs w:val="0"/>
          <w:strike w:val="0"/>
          <w:dstrike w:val="0"/>
          <w:color w:val="auto"/>
          <w:sz w:val="28"/>
          <w:szCs w:val="28"/>
          <w:lang w:val="en-US" w:eastAsia="zh-CN"/>
        </w:rPr>
        <w:t>依法进行专家评审另需时间不计算在该时限</w:t>
      </w:r>
    </w:p>
    <w:p>
      <w:pPr>
        <w:widowControl w:val="0"/>
        <w:numPr>
          <w:ilvl w:val="0"/>
          <w:numId w:val="2"/>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收费</w:t>
      </w:r>
    </w:p>
    <w:p>
      <w:pPr>
        <w:spacing w:line="600" w:lineRule="exact"/>
        <w:ind w:firstLine="562" w:firstLineChars="200"/>
        <w:outlineLvl w:val="9"/>
        <w:rPr>
          <w:rFonts w:hint="eastAsia" w:ascii="Times New Roman" w:hAnsi="Times New Roman" w:eastAsia="仿宋GB2312" w:cs="Times New Roman"/>
          <w:strike w:val="0"/>
          <w:dstrike w:val="0"/>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方正仿宋_GBK" w:hAnsi="方正仿宋_GBK" w:eastAsia="方正仿宋_GBK" w:cs="方正仿宋_GBK"/>
          <w:b w:val="0"/>
          <w:bCs w:val="0"/>
          <w:strike w:val="0"/>
          <w:dstrike w:val="0"/>
          <w:color w:val="auto"/>
          <w:sz w:val="28"/>
          <w:szCs w:val="28"/>
          <w:lang w:val="en-US" w:eastAsia="zh-CN"/>
        </w:rPr>
        <w:t>否</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ilvl w:val="0"/>
          <w:numId w:val="2"/>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行政许可证件</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方正仿宋_GBK" w:hAnsi="方正仿宋_GBK" w:eastAsia="方正仿宋_GBK" w:cs="方正仿宋_GBK"/>
          <w:b w:val="0"/>
          <w:bCs w:val="0"/>
          <w:strike w:val="0"/>
          <w:dstrike w:val="0"/>
          <w:color w:val="auto"/>
          <w:sz w:val="28"/>
          <w:szCs w:val="28"/>
          <w:lang w:val="en-US" w:eastAsia="zh-CN"/>
        </w:rPr>
        <w:t>其他</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方正仿宋_GBK" w:hAnsi="方正仿宋_GBK" w:eastAsia="方正仿宋_GBK" w:cs="方正仿宋_GBK"/>
          <w:b w:val="0"/>
          <w:bCs w:val="0"/>
          <w:strike w:val="0"/>
          <w:dstrike w:val="0"/>
          <w:color w:val="auto"/>
          <w:sz w:val="28"/>
          <w:szCs w:val="28"/>
          <w:lang w:val="en-US" w:eastAsia="zh-CN"/>
        </w:rPr>
        <w:t>公告</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方正仿宋_GBK" w:hAnsi="方正仿宋_GBK" w:eastAsia="方正仿宋_GBK" w:cs="方正仿宋_GBK"/>
          <w:b w:val="0"/>
          <w:bCs w:val="0"/>
          <w:strike w:val="0"/>
          <w:dstrike w:val="0"/>
          <w:color w:val="auto"/>
          <w:sz w:val="28"/>
          <w:szCs w:val="28"/>
          <w:lang w:val="en-US" w:eastAsia="zh-CN"/>
        </w:rPr>
        <w:t>无期限</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28"/>
          <w:szCs w:val="28"/>
          <w:lang w:val="en-US" w:eastAsia="zh-CN"/>
        </w:rPr>
        <w:t>否</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28"/>
          <w:szCs w:val="28"/>
          <w:lang w:val="en-US" w:eastAsia="zh-CN"/>
        </w:rPr>
        <w:t>否</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widowControl w:val="0"/>
        <w:numPr>
          <w:numId w:val="0"/>
        </w:numPr>
        <w:wordWrap/>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全国</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widowControl w:val="0"/>
        <w:numPr>
          <w:ilvl w:val="0"/>
          <w:numId w:val="2"/>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行政许可数量限制</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widowControl w:val="0"/>
        <w:numPr>
          <w:numId w:val="0"/>
        </w:numPr>
        <w:wordWrap/>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ilvl w:val="0"/>
          <w:numId w:val="2"/>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行政许可后年检</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widowControl w:val="0"/>
        <w:numPr>
          <w:numId w:val="0"/>
        </w:numPr>
        <w:wordWrap/>
        <w:adjustRightInd/>
        <w:snapToGrid/>
        <w:spacing w:line="54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widowControl w:val="0"/>
        <w:numPr>
          <w:numId w:val="0"/>
        </w:numPr>
        <w:wordWrap/>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ilvl w:val="0"/>
          <w:numId w:val="2"/>
        </w:numPr>
        <w:wordWrap/>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行政许可后年报</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540" w:lineRule="exact"/>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widowControl w:val="0"/>
        <w:numPr>
          <w:numId w:val="0"/>
        </w:numPr>
        <w:wordWrap/>
        <w:adjustRightInd/>
        <w:snapToGrid/>
        <w:spacing w:line="54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numId w:val="0"/>
        </w:numPr>
        <w:wordWrap/>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b w:val="0"/>
          <w:bCs w:val="0"/>
          <w:strike w:val="0"/>
          <w:dstrike w:val="0"/>
          <w:color w:val="auto"/>
          <w:sz w:val="28"/>
          <w:szCs w:val="28"/>
          <w:lang w:val="en-US" w:eastAsia="zh-CN"/>
        </w:rPr>
        <w:t>无</w:t>
      </w:r>
    </w:p>
    <w:p>
      <w:pPr>
        <w:widowControl w:val="0"/>
        <w:numPr>
          <w:ilvl w:val="0"/>
          <w:numId w:val="2"/>
        </w:numPr>
        <w:wordWrap/>
        <w:adjustRightInd/>
        <w:snapToGrid/>
        <w:spacing w:line="540" w:lineRule="exact"/>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监管主体</w:t>
      </w:r>
    </w:p>
    <w:p>
      <w:pPr>
        <w:widowControl w:val="0"/>
        <w:numPr>
          <w:numId w:val="0"/>
        </w:numPr>
        <w:wordWrap/>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县级水利部门</w:t>
      </w:r>
    </w:p>
    <w:p>
      <w:pPr>
        <w:widowControl w:val="0"/>
        <w:numPr>
          <w:ilvl w:val="0"/>
          <w:numId w:val="2"/>
        </w:numPr>
        <w:wordWrap/>
        <w:adjustRightInd/>
        <w:snapToGrid/>
        <w:spacing w:line="540" w:lineRule="exact"/>
        <w:textAlignment w:val="auto"/>
        <w:outlineLvl w:val="9"/>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方正仿宋_GBK" w:hAnsi="方正仿宋_GBK" w:eastAsia="方正仿宋_GBK" w:cs="方正仿宋_GBK"/>
          <w:b w:val="0"/>
          <w:bCs w:val="0"/>
          <w:strike w:val="0"/>
          <w:dstrike w:val="0"/>
          <w:color w:val="auto"/>
          <w:sz w:val="28"/>
          <w:szCs w:val="28"/>
          <w:lang w:val="en-US" w:eastAsia="zh-CN"/>
        </w:rPr>
        <w:t>备注</w:t>
      </w:r>
    </w:p>
    <w:p>
      <w:pPr>
        <w:widowControl w:val="0"/>
        <w:numPr>
          <w:numId w:val="0"/>
        </w:numPr>
        <w:wordWrap/>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widowControl w:val="0"/>
        <w:numPr>
          <w:numId w:val="0"/>
        </w:numPr>
        <w:wordWrap/>
        <w:adjustRightInd/>
        <w:snapToGrid/>
        <w:spacing w:line="540" w:lineRule="exact"/>
        <w:textAlignment w:val="auto"/>
        <w:outlineLvl w:val="9"/>
        <w:rPr>
          <w:rFonts w:hint="default" w:ascii="仿宋" w:hAnsi="仿宋" w:eastAsia="仿宋" w:cs="仿宋"/>
          <w:strike w:val="0"/>
          <w:dstrike w:val="0"/>
          <w:sz w:val="32"/>
          <w:szCs w:val="32"/>
          <w:lang w:val="en-US" w:eastAsia="zh-CN"/>
        </w:rPr>
      </w:pPr>
      <w:bookmarkStart w:id="0" w:name="_GoBack"/>
      <w:bookmarkEnd w:id="0"/>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方正楷体_GBK">
    <w:altName w:val="楷体_GB2312"/>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4"/>
        <w:lang w:val="en-US" w:eastAsia="zh-CN" w:bidi="ar-SA"/>
      </w:rPr>
      <w:pict>
        <v:rect id="文本框 1" o:spid="_x0000_s1025" style="position:absolute;left:0;margin-top:-9.95pt;height:21.15pt;width:56.5pt;mso-position-horizontal:center;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3"/>
                  <w:rPr>
                    <w:rFonts w:hint="eastAsia" w:ascii="宋体" w:hAnsi="宋体" w:eastAsia="宋体" w:cs="宋体"/>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81254896">
    <w:nsid w:val="C393F9F0"/>
    <w:multiLevelType w:val="singleLevel"/>
    <w:tmpl w:val="C393F9F0"/>
    <w:lvl w:ilvl="0" w:tentative="1">
      <w:start w:val="1"/>
      <w:numFmt w:val="chineseCounting"/>
      <w:suff w:val="nothing"/>
      <w:lvlText w:val="%1、"/>
      <w:lvlJc w:val="left"/>
      <w:rPr>
        <w:rFonts w:hint="eastAsia"/>
      </w:rPr>
    </w:lvl>
  </w:abstractNum>
  <w:abstractNum w:abstractNumId="2854086784">
    <w:nsid w:val="AA1DE880"/>
    <w:multiLevelType w:val="singleLevel"/>
    <w:tmpl w:val="AA1DE880"/>
    <w:lvl w:ilvl="0" w:tentative="1">
      <w:start w:val="1"/>
      <w:numFmt w:val="chineseCounting"/>
      <w:suff w:val="nothing"/>
      <w:lvlText w:val="%1、"/>
      <w:lvlJc w:val="left"/>
      <w:rPr>
        <w:rFonts w:hint="eastAsia"/>
      </w:rPr>
    </w:lvl>
  </w:abstractNum>
  <w:num w:numId="1">
    <w:abstractNumId w:val="2854086784"/>
  </w:num>
  <w:num w:numId="2">
    <w:abstractNumId w:val="32812548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2023-07-05T03:00:00Z</dcterms:created>
  <dc:creator>永攀高峰</dc:creator>
  <cp:lastModifiedBy>Administrator</cp:lastModifiedBy>
  <cp:lastPrinted>2023-07-05T03:10:00Z</cp:lastPrinted>
  <dcterms:modified xsi:type="dcterms:W3CDTF">2023-11-27T09:17:28Z</dcterms:modified>
  <dc:title> 行政许可事项实施规范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20DF684436584173B58F85005E93C9A3_13</vt:lpwstr>
  </property>
</Properties>
</file>