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第一部分 耿马县森林公安局2018年部门预算编制说明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第二部分 耿马县森林公安局2018年部门预算表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一、部门财务收支总体情况表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二、部门收入总体情况表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三、部门支出总体情况表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四、部门财政拨款收支总体情况表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五、部门一般公共预算本级财力安排支出情况表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六、部门基本支出情况表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七、部门政府性基金预算支出情况表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八、财政拨款支出明细表（按经济科目分类）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九、部门一般公共预算“三公”经费支出情况表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十、省本级项目支出绩效目标表（本次下达）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十一、省本级项目支出绩效目标表（另文下达）</w:t>
      </w:r>
    </w:p>
    <w:p>
      <w:pPr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十二、省对下转移支付绩效目标表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十三、部门政府采购情况表</w:t>
      </w:r>
    </w:p>
    <w:p>
      <w:pPr>
        <w:pStyle w:val="7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rPr>
          <w:rFonts w:hint="eastAsia" w:ascii="黑体" w:hAnsi="黑体" w:eastAsia="黑体"/>
          <w:sz w:val="36"/>
          <w:szCs w:val="36"/>
        </w:rPr>
      </w:pPr>
    </w:p>
    <w:p>
      <w:pPr>
        <w:pStyle w:val="7"/>
        <w:rPr>
          <w:rFonts w:hint="eastAsia" w:ascii="黑体" w:hAnsi="黑体" w:eastAsia="黑体"/>
          <w:sz w:val="36"/>
          <w:szCs w:val="36"/>
        </w:rPr>
      </w:pPr>
    </w:p>
    <w:p>
      <w:pPr>
        <w:pStyle w:val="7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耿马县森林公安局2018年部门预算编制说明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森林公安机关既是国家公安机关的组成部分，又是林业主管部门中的一支重要执法力量。森林公安机关实行林业和公安双重领导。负责维护辖区社会治安秩序，保护辖区内的森林资源。主要职责是：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一、管辖森林刑事案件和森林治安案件，查处林业主管部门委托的林业行政案件，依法严厉打击各种违法犯罪活动。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二、加强公安基础业务工作，健全群防群治组织；建立护林网络，改善林区治安和护林防范机制，推进林区社会治安综合治理，提高林区治安控制能力。</w:t>
      </w:r>
    </w:p>
    <w:p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三、大力宣传保护森林资源的法律、法规和有关林业政策，提高辖区干部、群众的法律意识，坚持群众路线，依靠人民群众同破坏森林资源的违法犯罪分子</w:t>
      </w:r>
      <w:r>
        <w:rPr>
          <w:rFonts w:hint="eastAsia" w:ascii="仿宋_GB2312" w:eastAsia="仿宋_GB2312"/>
          <w:sz w:val="30"/>
          <w:szCs w:val="30"/>
          <w:lang w:eastAsia="zh-CN"/>
        </w:rPr>
        <w:t>作</w:t>
      </w:r>
      <w:r>
        <w:rPr>
          <w:rFonts w:hint="eastAsia" w:ascii="仿宋_GB2312" w:eastAsia="仿宋_GB2312"/>
          <w:sz w:val="30"/>
          <w:szCs w:val="30"/>
        </w:rPr>
        <w:t>斗争。</w:t>
      </w:r>
    </w:p>
    <w:p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四、强化情报信息工作，加强调查研究，及时掌握和反映林区治安动态，针对林区治安情况，因地制宜，组织开展专项斗争，或专项整治。</w:t>
      </w:r>
    </w:p>
    <w:p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五、加强林业内部单位保卫组织建设和安全防范工作，预防各类案件和灾害事故的发生。</w:t>
      </w:r>
    </w:p>
    <w:p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六、服从当地公安局、林业局和上级森林公安机关的领导，及时完成上级领导交办的任务。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pStyle w:val="3"/>
        <w:adjustRightInd w:val="0"/>
        <w:snapToGrid w:val="0"/>
        <w:spacing w:before="93" w:line="560" w:lineRule="exact"/>
        <w:ind w:firstLine="672" w:firstLineChars="210"/>
        <w:rPr>
          <w:bCs/>
          <w:szCs w:val="30"/>
        </w:rPr>
      </w:pPr>
      <w:r>
        <w:rPr>
          <w:rFonts w:hint="eastAsia"/>
          <w:sz w:val="32"/>
          <w:szCs w:val="32"/>
        </w:rPr>
        <w:t>耿马县森林公安局成立于1984年3月23日,为林业局内设机构,2002年1月9日,经县委批准成立为耿马自治县森林公安局,级格为副科级, 2007年10月县委批准局长、政委高配为正科，派出所长高配为副科，归入县委政法干警系列,负责全县范围内的林区治安管护工作。下设三个森林公安派出所，即：孟定森林派出所1984年4月23日成立，福荣森林派出所1987年12月18日成立，勐撒森林派出所2007年6月成立，经2004年1月县长办公会研究决定森林公安局实行财务单列，人员实行财政全额供养</w:t>
      </w:r>
      <w:r>
        <w:rPr>
          <w:rFonts w:hint="eastAsia"/>
          <w:bCs/>
          <w:szCs w:val="30"/>
        </w:rPr>
        <w:t>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spacing w:line="560" w:lineRule="exact"/>
        <w:ind w:firstLine="793" w:firstLineChars="2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牢固树立科技强警的战略思想，坚持向科技要警力、战斗力。着力抓好办公自动化运用、基础信息采集录入、警综平台建设运用。充分应用信息化手段，不断强化社会服务功能，不断实现网上办公、网上办案、网上作战。在加强林区治安防范工作基础上，以执法办案为抓手，始终保持对破坏森林及野生动植物资源违法犯罪活动的高压态势，不断加大专项整治工作力度，重点强化区域性综合治理，严厉打击破坏森林和野生动植物资源违法犯罪活动；加大涉林纠纷调处力度，切实维护林权制度改革成果，严防群体性事件发生，有效维护林区社会和谐稳定；负责林区原植物铲除工作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</w:t>
      </w:r>
      <w:r>
        <w:rPr>
          <w:rFonts w:hint="eastAsia" w:eastAsia="仿宋_GB2312"/>
          <w:kern w:val="0"/>
          <w:sz w:val="30"/>
          <w:szCs w:val="30"/>
        </w:rPr>
        <w:t>。</w:t>
      </w:r>
      <w:r>
        <w:rPr>
          <w:rFonts w:eastAsia="仿宋_GB2312"/>
          <w:kern w:val="0"/>
          <w:sz w:val="30"/>
          <w:szCs w:val="30"/>
        </w:rPr>
        <w:t>财政全供给单位中行政单位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个。截</w:t>
      </w:r>
      <w:r>
        <w:rPr>
          <w:rFonts w:hint="eastAsia" w:eastAsia="仿宋_GB2312"/>
          <w:kern w:val="0"/>
          <w:sz w:val="30"/>
          <w:szCs w:val="30"/>
          <w:lang w:eastAsia="zh-CN"/>
        </w:rPr>
        <w:t>至</w:t>
      </w:r>
      <w:bookmarkStart w:id="0" w:name="_GoBack"/>
      <w:bookmarkEnd w:id="0"/>
      <w:r>
        <w:rPr>
          <w:rFonts w:eastAsia="仿宋_GB2312"/>
          <w:kern w:val="0"/>
          <w:sz w:val="30"/>
          <w:szCs w:val="30"/>
        </w:rPr>
        <w:t>201</w:t>
      </w:r>
      <w:r>
        <w:rPr>
          <w:rFonts w:hint="eastAsia" w:eastAsia="仿宋_GB2312"/>
          <w:kern w:val="0"/>
          <w:sz w:val="30"/>
          <w:szCs w:val="30"/>
        </w:rPr>
        <w:t>8</w:t>
      </w:r>
      <w:r>
        <w:rPr>
          <w:rFonts w:eastAsia="仿宋_GB2312"/>
          <w:kern w:val="0"/>
          <w:sz w:val="30"/>
          <w:szCs w:val="30"/>
        </w:rPr>
        <w:t>年1月统计，部门基本情况如下：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</w:rPr>
        <w:t>21</w:t>
      </w:r>
      <w:r>
        <w:rPr>
          <w:rFonts w:eastAsia="仿宋_GB2312"/>
          <w:kern w:val="0"/>
          <w:sz w:val="30"/>
          <w:szCs w:val="30"/>
        </w:rPr>
        <w:t xml:space="preserve">人，其中：行政编制 </w:t>
      </w:r>
      <w:r>
        <w:rPr>
          <w:rFonts w:hint="eastAsia" w:eastAsia="仿宋_GB2312"/>
          <w:kern w:val="0"/>
          <w:sz w:val="30"/>
          <w:szCs w:val="30"/>
        </w:rPr>
        <w:t>21</w:t>
      </w:r>
      <w:r>
        <w:rPr>
          <w:rFonts w:eastAsia="仿宋_GB2312"/>
          <w:kern w:val="0"/>
          <w:sz w:val="30"/>
          <w:szCs w:val="30"/>
        </w:rPr>
        <w:t>人。在职实有</w:t>
      </w:r>
      <w:r>
        <w:rPr>
          <w:rFonts w:hint="eastAsia" w:eastAsia="仿宋_GB2312"/>
          <w:kern w:val="0"/>
          <w:sz w:val="30"/>
          <w:szCs w:val="30"/>
        </w:rPr>
        <w:t>21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</w:rPr>
        <w:t>21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</w:rPr>
        <w:t xml:space="preserve">人，其中：退休 </w:t>
      </w:r>
      <w:r>
        <w:rPr>
          <w:rFonts w:hint="eastAsia"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 xml:space="preserve">年部门财务总收入 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元，其中：一般公共预算</w:t>
      </w:r>
      <w:r>
        <w:rPr>
          <w:rFonts w:hint="eastAsia" w:eastAsia="仿宋_GB2312"/>
          <w:kern w:val="0"/>
          <w:sz w:val="30"/>
          <w:szCs w:val="30"/>
        </w:rPr>
        <w:t>财政拨款524.267193万</w:t>
      </w:r>
      <w:r>
        <w:rPr>
          <w:rFonts w:eastAsia="仿宋_GB2312"/>
          <w:kern w:val="0"/>
          <w:sz w:val="30"/>
          <w:szCs w:val="30"/>
        </w:rPr>
        <w:t>元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>年部门财政拨款收入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元，其中:本年收入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元。本年收入中，一般公共预算财政拨款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元（本级财力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元）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>年部门预算总支出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>安排支出 万元，其中，基本支出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元，项目支出无。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功能科目分组，主要用于社会保障和就业支出</w:t>
      </w:r>
      <w:r>
        <w:rPr>
          <w:rFonts w:hint="eastAsia" w:eastAsia="仿宋_GB2312"/>
          <w:kern w:val="0"/>
          <w:sz w:val="30"/>
          <w:szCs w:val="30"/>
        </w:rPr>
        <w:t>50.067969万元</w:t>
      </w:r>
      <w:r>
        <w:rPr>
          <w:rFonts w:eastAsia="仿宋_GB2312"/>
          <w:kern w:val="0"/>
          <w:sz w:val="30"/>
          <w:szCs w:val="30"/>
        </w:rPr>
        <w:t>；医疗卫生与计划生育支出</w:t>
      </w:r>
      <w:r>
        <w:rPr>
          <w:rFonts w:hint="eastAsia" w:eastAsia="仿宋_GB2312"/>
          <w:kern w:val="0"/>
          <w:sz w:val="30"/>
          <w:szCs w:val="30"/>
        </w:rPr>
        <w:t>15.2532万元；农林水支出436.180632万元；住房保障支出22.765392万元。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经济科目分组（其中：基本支出</w:t>
      </w:r>
      <w:r>
        <w:rPr>
          <w:rFonts w:hint="eastAsia" w:eastAsia="仿宋_GB2312"/>
          <w:kern w:val="0"/>
          <w:sz w:val="30"/>
          <w:szCs w:val="30"/>
        </w:rPr>
        <w:t>524.267193万</w:t>
      </w:r>
      <w:r>
        <w:rPr>
          <w:rFonts w:eastAsia="仿宋_GB2312"/>
          <w:kern w:val="0"/>
          <w:sz w:val="30"/>
          <w:szCs w:val="30"/>
        </w:rPr>
        <w:t>元，项目支出无）。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五、省对下专项转移支付情况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部门列入省对下专项转移支付项目清单项目为：金额</w:t>
      </w:r>
      <w:r>
        <w:rPr>
          <w:rFonts w:hint="eastAsia" w:eastAsia="仿宋_GB2312"/>
          <w:kern w:val="0"/>
          <w:sz w:val="30"/>
          <w:szCs w:val="30"/>
        </w:rPr>
        <w:t>27.51万</w:t>
      </w:r>
      <w:r>
        <w:rPr>
          <w:rFonts w:eastAsia="仿宋_GB2312"/>
          <w:kern w:val="0"/>
          <w:sz w:val="30"/>
          <w:szCs w:val="30"/>
        </w:rPr>
        <w:t>元，主要用于森林公安补助。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2" w:firstLineChars="15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无。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根据《中华人民共和国政府采购法》的有关规定，编制了政府采购预算，共涉及采购项目无。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（本条主要填写</w:t>
      </w:r>
      <w:r>
        <w:rPr>
          <w:rFonts w:eastAsia="仿宋_GB2312"/>
          <w:kern w:val="0"/>
          <w:sz w:val="30"/>
          <w:szCs w:val="30"/>
        </w:rPr>
        <w:t>基本支出预算</w:t>
      </w:r>
      <w:r>
        <w:rPr>
          <w:rFonts w:hint="eastAsia" w:eastAsia="仿宋_GB2312"/>
          <w:kern w:val="0"/>
          <w:sz w:val="30"/>
          <w:szCs w:val="30"/>
        </w:rPr>
        <w:t>和</w:t>
      </w:r>
      <w:r>
        <w:rPr>
          <w:rFonts w:eastAsia="仿宋_GB2312"/>
          <w:kern w:val="0"/>
          <w:sz w:val="30"/>
          <w:szCs w:val="30"/>
        </w:rPr>
        <w:t>项目支出预算变动的主要原因</w:t>
      </w:r>
      <w:r>
        <w:rPr>
          <w:rFonts w:hint="eastAsia" w:eastAsia="仿宋_GB2312"/>
          <w:kern w:val="0"/>
          <w:sz w:val="30"/>
          <w:szCs w:val="30"/>
        </w:rPr>
        <w:t>）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（一）……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（二）……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（三）……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</w:t>
      </w:r>
      <w:r>
        <w:rPr>
          <w:rFonts w:ascii="黑体" w:hAnsi="黑体" w:eastAsia="黑体"/>
          <w:kern w:val="0"/>
          <w:sz w:val="30"/>
          <w:szCs w:val="30"/>
        </w:rPr>
        <w:t>、</w:t>
      </w:r>
      <w:r>
        <w:rPr>
          <w:rFonts w:hint="eastAsia" w:ascii="黑体" w:hAnsi="黑体" w:eastAsia="黑体"/>
          <w:kern w:val="0"/>
          <w:sz w:val="30"/>
          <w:szCs w:val="30"/>
        </w:rPr>
        <w:t>“三公”经费情况说明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0"/>
          <w:szCs w:val="30"/>
        </w:rPr>
        <w:t>2017年</w:t>
      </w:r>
      <w:r>
        <w:rPr>
          <w:rFonts w:hint="eastAsia" w:ascii="仿宋_GB2312" w:hAnsi="黑体" w:eastAsia="仿宋_GB2312"/>
          <w:sz w:val="32"/>
          <w:szCs w:val="32"/>
        </w:rPr>
        <w:t>“三公”经费预算财政拨款预算总额为2万元。其中，公务用车运行费2万元。2018年“三公”经费预算财政拨款预算总额为公务用车运行维护费2万元。</w:t>
      </w:r>
      <w:r>
        <w:rPr>
          <w:rFonts w:ascii="仿宋_GB2312" w:hAnsi="黑体" w:eastAsia="仿宋_GB2312"/>
          <w:sz w:val="32"/>
          <w:szCs w:val="32"/>
        </w:rPr>
        <w:t>“三公”经费预算</w:t>
      </w:r>
      <w:r>
        <w:rPr>
          <w:rFonts w:hint="eastAsia" w:ascii="仿宋_GB2312" w:hAnsi="黑体" w:eastAsia="仿宋_GB2312"/>
          <w:sz w:val="32"/>
          <w:szCs w:val="32"/>
        </w:rPr>
        <w:t>不变。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九</w:t>
      </w:r>
      <w:r>
        <w:rPr>
          <w:rFonts w:ascii="黑体" w:hAnsi="黑体" w:eastAsia="黑体"/>
          <w:kern w:val="0"/>
          <w:sz w:val="30"/>
          <w:szCs w:val="30"/>
        </w:rPr>
        <w:t>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widowControl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鉴于截至2018年12月31日的国有资产占有使用情况需在完成2018年决算编制后才能统计汇总相关数据，因此，将在公开2018年度部门决算时一并公开部门截至2018年12月31日的国有资产占有使用情况。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1E1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B4F5C"/>
    <w:rsid w:val="001C1C89"/>
    <w:rsid w:val="001C55D5"/>
    <w:rsid w:val="001D120C"/>
    <w:rsid w:val="001E03BD"/>
    <w:rsid w:val="001E684A"/>
    <w:rsid w:val="001F5AF3"/>
    <w:rsid w:val="00200BD6"/>
    <w:rsid w:val="00216177"/>
    <w:rsid w:val="002230AE"/>
    <w:rsid w:val="002247D0"/>
    <w:rsid w:val="00224F80"/>
    <w:rsid w:val="0022507C"/>
    <w:rsid w:val="00226979"/>
    <w:rsid w:val="002400DF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3E4E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2881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00E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280D"/>
    <w:rsid w:val="0048694C"/>
    <w:rsid w:val="004911B1"/>
    <w:rsid w:val="00495E43"/>
    <w:rsid w:val="004A362F"/>
    <w:rsid w:val="004A742B"/>
    <w:rsid w:val="004B29ED"/>
    <w:rsid w:val="004B3EC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2FE8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3B14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2F25"/>
    <w:rsid w:val="009535AF"/>
    <w:rsid w:val="009562FB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DCF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4D5E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05C7D"/>
    <w:rsid w:val="00B15323"/>
    <w:rsid w:val="00B259AC"/>
    <w:rsid w:val="00B268D9"/>
    <w:rsid w:val="00B26EC9"/>
    <w:rsid w:val="00B31B8F"/>
    <w:rsid w:val="00B333B0"/>
    <w:rsid w:val="00B3407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2EB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5771"/>
    <w:rsid w:val="00C6603B"/>
    <w:rsid w:val="00C71E3F"/>
    <w:rsid w:val="00C75A4D"/>
    <w:rsid w:val="00C75CE4"/>
    <w:rsid w:val="00C80F37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51FF9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00E8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1287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3A7D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77B3F"/>
    <w:rsid w:val="00E83456"/>
    <w:rsid w:val="00E904E8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0FCF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0429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4489"/>
    <w:rsid w:val="00FE5F50"/>
    <w:rsid w:val="00FF1B25"/>
    <w:rsid w:val="00FF7A85"/>
    <w:rsid w:val="17941C6D"/>
    <w:rsid w:val="22186769"/>
    <w:rsid w:val="4FA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link w:val="13"/>
    <w:uiPriority w:val="0"/>
    <w:pPr>
      <w:spacing w:beforeLines="30"/>
    </w:pPr>
    <w:rPr>
      <w:rFonts w:ascii="仿宋_GB2312" w:eastAsia="仿宋_GB2312"/>
      <w:sz w:val="3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14">
    <w:name w:val="标题 Char"/>
    <w:basedOn w:val="10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6</Pages>
  <Words>349</Words>
  <Characters>1993</Characters>
  <Lines>16</Lines>
  <Paragraphs>4</Paragraphs>
  <TotalTime>299</TotalTime>
  <ScaleCrop>false</ScaleCrop>
  <LinksUpToDate>false</LinksUpToDate>
  <CharactersWithSpaces>2338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2018-01-31T03:32:00Z</cp:lastPrinted>
  <dcterms:modified xsi:type="dcterms:W3CDTF">2024-12-24T00:45:04Z</dcterms:modified>
  <dc:title>年部门预算编制说明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D868874105C8434691F48C2E70AEF89F</vt:lpwstr>
  </property>
</Properties>
</file>