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耿马自治县2024年度第四批次城镇建设用地征地补偿安置方案</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耿马傣族佤族自治县人民政府依据耿马自治县2024年度第四批次城镇建设用地拟征收土地社会稳定风险评估结果，结合土地现状调查</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rPr>
        <w:t>，组织自然资源局、财政局、农业农村局、人力资源和社会保障局等相关部门制定了本方案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具体内容如下：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耿马自治县2024年度第四批次城镇建设用地拟征收土地位于班幸社区居民委员会班幸村民小组。共涉及1个镇，1个居民委员会，1个村民小组。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黑体" w:hAnsi="黑体" w:eastAsia="黑体" w:cs="黑体"/>
          <w:bCs/>
          <w:color w:val="auto"/>
          <w:sz w:val="32"/>
          <w:szCs w:val="32"/>
        </w:rPr>
      </w:pPr>
      <w:r>
        <w:rPr>
          <w:rFonts w:hint="default" w:ascii="黑体" w:hAnsi="黑体" w:eastAsia="黑体" w:cs="黑体"/>
          <w:bCs/>
          <w:color w:val="auto"/>
          <w:sz w:val="32"/>
          <w:szCs w:val="32"/>
        </w:rPr>
        <w:t>二、土地现状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自治县2024年度第四批次城镇建设用地涉及拟征收土地的权属为耿马自治县孟定镇班幸社区居民委员会班幸村民小组集体所有，申请用地总面积1.2829公顷，其中农用地1.2829公顷（不涉及占用耕地、园地0.0071公顷、草地0.3210公顷），建设用地0.9548公顷，不涉及占用未利用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该批次用地不涉及征收农村村民住宅及青苗，涉及征收其他</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"https://baike.baidu.com/item/%E5%9C%B0%E4%B8%8A%E9%99%84%E7%9D%80%E7%89%A9" \t "https://baike.baidu.com/item/%E5%BE%81%E7%94%A8%E5%9C%9F%E5%9C%B0%E5%85%AC%E5%91%8A%E5%8A%9E%E6%B3%95/_blank"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地上附着物</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分别为：厂房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1616.58平方米；办公用房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框架</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219.79平方米；过道房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框架</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28.38平方米；闲置房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141.37平方米；厨房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55.65平方米；遮雨棚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85.15平方米；消防控制室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砖混</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27.36平方米；闲置房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砖砌</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192.08平方米；水泵房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砖混</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51.92平方米；电机雨棚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96.82平方米；配电房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砖混</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52.13平方米；厕所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9.67平方米；乙炔厂房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477.69平方米；过道房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72.62平方米；仓库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彩钢瓦</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144.44平方米；水池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砖砌结构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113.47平方米，权利人为临沧边境经济合作区国有资本投资运营有限公司。</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黑体" w:hAnsi="黑体" w:eastAsia="黑体" w:cs="黑体"/>
          <w:bCs/>
          <w:color w:val="auto"/>
          <w:sz w:val="32"/>
          <w:szCs w:val="32"/>
        </w:rPr>
      </w:pPr>
      <w:r>
        <w:rPr>
          <w:rFonts w:hint="default" w:ascii="黑体" w:hAnsi="黑体" w:eastAsia="黑体" w:cs="黑体"/>
          <w:bCs/>
          <w:color w:val="auto"/>
          <w:sz w:val="32"/>
          <w:szCs w:val="32"/>
        </w:rPr>
        <w:t>三、征收目的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拟征收土地用于耿马自治县2024年度第四批次城镇建设用地，符合《中华人民共和国土地管理法》第四十五条第五款“在土地利用总体规划确定的城镇建设用地范围内，经省级以上人民政府批准由县级以上地方人民政府组织实施的成片开发建设需要用地的”可以依法实施征收土地的情形。该批次拟征收土地位于经云南省人民政府批准的成片开发方案《云南省自然资源厅关于耿马县2021年土地征收成片开发方案（第二次）的批复》（云自然资征成〔2022〕95号）范围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四、补偿</w:t>
      </w:r>
      <w:r>
        <w:rPr>
          <w:rFonts w:hint="eastAsia" w:ascii="黑体" w:hAnsi="黑体" w:eastAsia="黑体" w:cs="黑体"/>
          <w:bCs/>
          <w:color w:val="auto"/>
          <w:sz w:val="32"/>
          <w:szCs w:val="32"/>
          <w:lang w:val="en-US" w:eastAsia="zh-CN"/>
        </w:rPr>
        <w:t>方式和</w:t>
      </w:r>
      <w:r>
        <w:rPr>
          <w:rFonts w:hint="eastAsia" w:ascii="黑体" w:hAnsi="黑体" w:eastAsia="黑体" w:cs="黑体"/>
          <w:bCs/>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自治县2024年度第四批次城镇建设用地拟征收土地征地补偿标准按2023年11月18日《云南省自然资源厅关于公布实施2023年云南省征收农用地区片综合地价的通知》（云自然资〔2023〕169号）的规定执行。该批次拟征收土地共涉及耿马自治县1个区片综合地价区域，具体情况如下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p>
    <w:p>
      <w:pPr>
        <w:widowControl/>
        <w:spacing w:line="240" w:lineRule="exact"/>
        <w:jc w:val="right"/>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单位：元/亩</w:t>
      </w:r>
    </w:p>
    <w:tbl>
      <w:tblPr>
        <w:tblStyle w:val="8"/>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464"/>
        <w:gridCol w:w="780"/>
        <w:gridCol w:w="992"/>
        <w:gridCol w:w="850"/>
        <w:gridCol w:w="851"/>
        <w:gridCol w:w="795"/>
        <w:gridCol w:w="906"/>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77"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区片编号</w:t>
            </w:r>
          </w:p>
        </w:tc>
        <w:tc>
          <w:tcPr>
            <w:tcW w:w="1464" w:type="dxa"/>
            <w:vMerge w:val="restart"/>
            <w:tcBorders>
              <w:tl2br w:val="single" w:color="auto" w:sz="4" w:space="0"/>
            </w:tcBorders>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 xml:space="preserve"> </w:t>
            </w:r>
            <w:r>
              <w:rPr>
                <w:rFonts w:ascii="仿宋_GB2312" w:hAnsi="宋体" w:eastAsia="仿宋_GB2312" w:cs="仿宋_GB2312"/>
                <w:color w:val="auto"/>
                <w:kern w:val="0"/>
                <w:sz w:val="22"/>
                <w:lang w:bidi="ar"/>
              </w:rPr>
              <w:t xml:space="preserve">  </w:t>
            </w:r>
          </w:p>
          <w:p>
            <w:pPr>
              <w:widowControl/>
              <w:spacing w:line="22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 xml:space="preserve">    </w:t>
            </w:r>
            <w:r>
              <w:rPr>
                <w:rFonts w:hint="eastAsia" w:ascii="仿宋_GB2312" w:hAnsi="宋体" w:eastAsia="仿宋_GB2312" w:cs="仿宋_GB2312"/>
                <w:color w:val="auto"/>
                <w:kern w:val="0"/>
                <w:sz w:val="22"/>
                <w:lang w:bidi="ar"/>
              </w:rPr>
              <w:t>地类</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区片</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综合</w:t>
            </w:r>
          </w:p>
          <w:p>
            <w:pPr>
              <w:widowControl/>
              <w:spacing w:line="220" w:lineRule="exact"/>
              <w:jc w:val="left"/>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地价</w:t>
            </w:r>
          </w:p>
        </w:tc>
        <w:tc>
          <w:tcPr>
            <w:tcW w:w="6024" w:type="dxa"/>
            <w:gridSpan w:val="7"/>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农用地</w:t>
            </w:r>
          </w:p>
        </w:tc>
        <w:tc>
          <w:tcPr>
            <w:tcW w:w="851"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集体建设用地</w:t>
            </w:r>
          </w:p>
        </w:tc>
        <w:tc>
          <w:tcPr>
            <w:tcW w:w="850"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未利</w:t>
            </w:r>
          </w:p>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77"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1464" w:type="dxa"/>
            <w:vMerge w:val="continue"/>
            <w:vAlign w:val="center"/>
          </w:tcPr>
          <w:p>
            <w:pPr>
              <w:spacing w:line="220" w:lineRule="exact"/>
              <w:jc w:val="center"/>
              <w:rPr>
                <w:rFonts w:eastAsia="仿宋_GB2312"/>
                <w:color w:val="auto"/>
                <w:sz w:val="28"/>
                <w:szCs w:val="28"/>
              </w:rPr>
            </w:pPr>
          </w:p>
        </w:tc>
        <w:tc>
          <w:tcPr>
            <w:tcW w:w="2622" w:type="dxa"/>
            <w:gridSpan w:val="3"/>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耕地</w:t>
            </w:r>
          </w:p>
        </w:tc>
        <w:tc>
          <w:tcPr>
            <w:tcW w:w="851"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园地</w:t>
            </w:r>
          </w:p>
        </w:tc>
        <w:tc>
          <w:tcPr>
            <w:tcW w:w="795"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林地</w:t>
            </w:r>
          </w:p>
        </w:tc>
        <w:tc>
          <w:tcPr>
            <w:tcW w:w="906"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草地</w:t>
            </w:r>
          </w:p>
        </w:tc>
        <w:tc>
          <w:tcPr>
            <w:tcW w:w="850" w:type="dxa"/>
            <w:vMerge w:val="restart"/>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其他农用地</w:t>
            </w: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77"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1464" w:type="dxa"/>
            <w:vMerge w:val="continue"/>
            <w:vAlign w:val="center"/>
          </w:tcPr>
          <w:p>
            <w:pPr>
              <w:spacing w:line="220" w:lineRule="exact"/>
              <w:jc w:val="center"/>
              <w:rPr>
                <w:rFonts w:eastAsia="仿宋_GB2312"/>
                <w:color w:val="auto"/>
                <w:sz w:val="28"/>
                <w:szCs w:val="28"/>
              </w:rPr>
            </w:pPr>
          </w:p>
        </w:tc>
        <w:tc>
          <w:tcPr>
            <w:tcW w:w="780"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水田</w:t>
            </w:r>
          </w:p>
        </w:tc>
        <w:tc>
          <w:tcPr>
            <w:tcW w:w="992"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水浇地</w:t>
            </w:r>
          </w:p>
        </w:tc>
        <w:tc>
          <w:tcPr>
            <w:tcW w:w="850" w:type="dxa"/>
            <w:vAlign w:val="center"/>
          </w:tcPr>
          <w:p>
            <w:pPr>
              <w:widowControl/>
              <w:spacing w:line="220" w:lineRule="exact"/>
              <w:jc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旱地</w:t>
            </w: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795"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906"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1"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c>
          <w:tcPr>
            <w:tcW w:w="850" w:type="dxa"/>
            <w:vMerge w:val="continue"/>
            <w:vAlign w:val="center"/>
          </w:tcPr>
          <w:p>
            <w:pPr>
              <w:widowControl/>
              <w:spacing w:line="220" w:lineRule="exact"/>
              <w:jc w:val="center"/>
              <w:rPr>
                <w:rFonts w:ascii="仿宋_GB2312" w:hAnsi="宋体" w:eastAsia="仿宋_GB2312" w:cs="仿宋_GB2312"/>
                <w:color w:val="auto"/>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77"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I</w:t>
            </w:r>
          </w:p>
        </w:tc>
        <w:tc>
          <w:tcPr>
            <w:tcW w:w="1464"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78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60750</w:t>
            </w:r>
          </w:p>
        </w:tc>
        <w:tc>
          <w:tcPr>
            <w:tcW w:w="992"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1"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795"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25110</w:t>
            </w:r>
          </w:p>
        </w:tc>
        <w:tc>
          <w:tcPr>
            <w:tcW w:w="906"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25110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40500</w:t>
            </w:r>
          </w:p>
        </w:tc>
        <w:tc>
          <w:tcPr>
            <w:tcW w:w="851"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60750</w:t>
            </w:r>
          </w:p>
        </w:tc>
        <w:tc>
          <w:tcPr>
            <w:tcW w:w="850" w:type="dxa"/>
            <w:vAlign w:val="center"/>
          </w:tcPr>
          <w:p>
            <w:pPr>
              <w:widowControl/>
              <w:spacing w:line="200" w:lineRule="exact"/>
              <w:jc w:val="center"/>
              <w:rPr>
                <w:rFonts w:ascii="仿宋_GB2312" w:hAnsi="宋体" w:eastAsia="仿宋_GB2312" w:cs="仿宋_GB2312"/>
                <w:color w:val="auto"/>
                <w:kern w:val="0"/>
                <w:sz w:val="22"/>
                <w:lang w:bidi="ar"/>
              </w:rPr>
            </w:pPr>
            <w:r>
              <w:rPr>
                <w:rFonts w:ascii="仿宋_GB2312" w:hAnsi="宋体" w:eastAsia="仿宋_GB2312" w:cs="仿宋_GB2312"/>
                <w:color w:val="auto"/>
                <w:kern w:val="0"/>
                <w:sz w:val="22"/>
                <w:lang w:bidi="ar"/>
              </w:rPr>
              <w:t>12150</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其他地上附着物和青苗补偿标准按照2022年9月30日《临沧市人民政府办公室关于公布实施临沧市地上附着物和青苗补偿标准的通知》（临政办发〔2022〕82号）的规定执行。具体补偿标准如下：</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（一）建筑物补偿标准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彩钢瓦结构：250元/平方米；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框架结构：1630元/平方米；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砖混结构：1430元/平方米；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砖砌结构：1040元/平方米；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（二）构筑物及其他地上附着物补偿标准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水池：砖砌700元/平方米，钢筋混凝土1000元/平方米；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黑体" w:hAnsi="黑体" w:eastAsia="黑体" w:cs="黑体"/>
          <w:bCs/>
          <w:color w:val="auto"/>
          <w:sz w:val="32"/>
          <w:szCs w:val="32"/>
        </w:rPr>
      </w:pPr>
      <w:r>
        <w:rPr>
          <w:rFonts w:hint="default" w:ascii="黑体" w:hAnsi="黑体" w:eastAsia="黑体" w:cs="黑体"/>
          <w:bCs/>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耿马自治县2024年度第四批次城镇建设用地拟征地范围涉及孟定镇班幸社区居民委员会班幸村民小组农户2户12人，其中劳动力7人。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黑体" w:hAnsi="黑体" w:eastAsia="黑体" w:cs="黑体"/>
          <w:bCs/>
          <w:color w:val="auto"/>
          <w:sz w:val="32"/>
          <w:szCs w:val="32"/>
        </w:rPr>
      </w:pPr>
      <w:r>
        <w:rPr>
          <w:rFonts w:hint="default" w:ascii="黑体" w:hAnsi="黑体" w:eastAsia="黑体" w:cs="黑体"/>
          <w:bCs/>
          <w:color w:val="auto"/>
          <w:sz w:val="32"/>
          <w:szCs w:val="32"/>
        </w:rPr>
        <w:t>六、安置方式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耿马自治县2024年度第四批</w:t>
      </w:r>
      <w:bookmarkStart w:id="1" w:name="_GoBack"/>
      <w:bookmarkEnd w:id="1"/>
      <w:r>
        <w:rPr>
          <w:rFonts w:hint="default" w:ascii="Times New Roman" w:hAnsi="Times New Roman" w:eastAsia="仿宋_GB2312" w:cs="Times New Roman"/>
          <w:color w:val="auto"/>
          <w:sz w:val="32"/>
          <w:szCs w:val="32"/>
        </w:rPr>
        <w:t>次城镇建设用地拟征收土地涉及孟定镇班幸社区居民委员会班幸村民小组，</w:t>
      </w:r>
      <w:bookmarkStart w:id="0" w:name="_Hlk159352715"/>
      <w:r>
        <w:rPr>
          <w:rFonts w:hint="default" w:ascii="Times New Roman" w:hAnsi="Times New Roman" w:eastAsia="仿宋_GB2312" w:cs="Times New Roman"/>
          <w:color w:val="auto"/>
          <w:sz w:val="32"/>
          <w:szCs w:val="32"/>
        </w:rPr>
        <w:t>共涉及农户2户12人（劳动力7人），</w:t>
      </w:r>
      <w:bookmarkEnd w:id="0"/>
      <w:r>
        <w:rPr>
          <w:rFonts w:hint="default" w:ascii="Times New Roman" w:hAnsi="Times New Roman" w:eastAsia="仿宋_GB2312" w:cs="Times New Roman"/>
          <w:color w:val="auto"/>
          <w:sz w:val="32"/>
          <w:szCs w:val="32"/>
        </w:rPr>
        <w:t>征地前人均耕地面积8.0417亩，征地后人均耕地面积8.0417亩，</w:t>
      </w:r>
      <w:r>
        <w:rPr>
          <w:rFonts w:hint="default" w:ascii="Times New Roman" w:hAnsi="Times New Roman" w:eastAsia="仿宋_GB2312" w:cs="Times New Roman"/>
          <w:color w:val="auto"/>
          <w:sz w:val="32"/>
          <w:szCs w:val="32"/>
          <w:lang w:val="en-US" w:eastAsia="zh-CN"/>
        </w:rPr>
        <w:t>不涉及</w:t>
      </w:r>
      <w:r>
        <w:rPr>
          <w:rFonts w:hint="default" w:ascii="Times New Roman" w:hAnsi="Times New Roman" w:eastAsia="仿宋_GB2312" w:cs="Times New Roman"/>
          <w:color w:val="auto"/>
          <w:sz w:val="32"/>
          <w:szCs w:val="32"/>
        </w:rPr>
        <w:t>征地后人均耕地面积低于0.3亩农户，无完全失地农民。针对以上农户，我县通过采取发放安置补助费和社会保障安置方式，妥善安排被征地农民的生产和生活。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黑体" w:hAnsi="黑体" w:eastAsia="黑体" w:cs="黑体"/>
          <w:bCs/>
          <w:color w:val="auto"/>
          <w:sz w:val="32"/>
          <w:szCs w:val="32"/>
        </w:rPr>
      </w:pPr>
      <w:r>
        <w:rPr>
          <w:rFonts w:hint="default" w:ascii="黑体" w:hAnsi="黑体" w:eastAsia="黑体" w:cs="黑体"/>
          <w:bCs/>
          <w:color w:val="auto"/>
          <w:sz w:val="32"/>
          <w:szCs w:val="32"/>
        </w:rPr>
        <w:t>七、社会保障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劳动和社会保障部、国土资源部关于切实做好被征地农民社会保障工作有关问题的通知》（劳社部发〔2007〕14号）、《云南省人民政府关于印发云南省被征地农民基本养老保障试行办法的通知》（云政发〔2008〕226号）和《临沧市被征地农民基本养老保障实施班（试行）》（2009年临沧市人民政府第3号公告）等相关规定，耿马自治县2024年度第四批次城镇建设用地采取以下社会保障措施：</w:t>
      </w: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color w:val="auto"/>
          <w:sz w:val="32"/>
          <w:szCs w:val="32"/>
        </w:rPr>
        <w:t>按2023年11月18日《云南省自然资源厅关于公布实施2023年云南省征收农用地区片综合地价的通知》（云自然资〔2023〕169号）规定的征地补偿标准对集体土地进行补偿；</w:t>
      </w: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color w:val="auto"/>
          <w:sz w:val="32"/>
          <w:szCs w:val="32"/>
        </w:rPr>
        <w:t>按照耿马自治县一类区每亩增收3万的标准征收被征地农民基本养老保障专项资金，专项用于被征地农民基本养老保障；</w:t>
      </w:r>
      <w:r>
        <w:rPr>
          <w:rFonts w:hint="default" w:ascii="Times New Roman" w:hAnsi="Times New Roman" w:eastAsia="仿宋_GB2312" w:cs="Times New Roman"/>
          <w:b/>
          <w:color w:val="auto"/>
          <w:sz w:val="32"/>
          <w:szCs w:val="32"/>
        </w:rPr>
        <w:t>三是</w:t>
      </w:r>
      <w:r>
        <w:rPr>
          <w:rFonts w:hint="default" w:ascii="Times New Roman" w:hAnsi="Times New Roman" w:eastAsia="仿宋_GB2312" w:cs="Times New Roman"/>
          <w:color w:val="auto"/>
          <w:sz w:val="32"/>
          <w:szCs w:val="32"/>
        </w:rPr>
        <w:t>将符合条件的被征地农民纳入城乡居民养老保险或城镇职工养老保险参保。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耿马傣族佤族自治县人民政府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2024年2月21日</w:t>
      </w:r>
    </w:p>
    <w:sectPr>
      <w:footerReference r:id="rId3" w:type="default"/>
      <w:pgSz w:w="11906" w:h="16838"/>
      <w:pgMar w:top="1984"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NDE0NDM1YmE0MmY5Y2NlYzYzZmM4NGJiZWY5M2EifQ=="/>
  </w:docVars>
  <w:rsids>
    <w:rsidRoot w:val="0078153A"/>
    <w:rsid w:val="00003080"/>
    <w:rsid w:val="00003EA6"/>
    <w:rsid w:val="00033599"/>
    <w:rsid w:val="000372F0"/>
    <w:rsid w:val="0004095B"/>
    <w:rsid w:val="00042202"/>
    <w:rsid w:val="000476BC"/>
    <w:rsid w:val="000620C1"/>
    <w:rsid w:val="00085AE0"/>
    <w:rsid w:val="000A118F"/>
    <w:rsid w:val="000A4E6B"/>
    <w:rsid w:val="000A5D5C"/>
    <w:rsid w:val="000B25BB"/>
    <w:rsid w:val="000B5118"/>
    <w:rsid w:val="000D688D"/>
    <w:rsid w:val="00102433"/>
    <w:rsid w:val="00124731"/>
    <w:rsid w:val="00166BAA"/>
    <w:rsid w:val="001722DB"/>
    <w:rsid w:val="0017234D"/>
    <w:rsid w:val="001956D1"/>
    <w:rsid w:val="001A0C0F"/>
    <w:rsid w:val="001C0A1E"/>
    <w:rsid w:val="001C581E"/>
    <w:rsid w:val="001E4B18"/>
    <w:rsid w:val="001F5BB4"/>
    <w:rsid w:val="00214075"/>
    <w:rsid w:val="00216C4C"/>
    <w:rsid w:val="00242A9B"/>
    <w:rsid w:val="00247438"/>
    <w:rsid w:val="002474DB"/>
    <w:rsid w:val="002478BE"/>
    <w:rsid w:val="00250B78"/>
    <w:rsid w:val="002609DA"/>
    <w:rsid w:val="00271CAE"/>
    <w:rsid w:val="002742EB"/>
    <w:rsid w:val="00286727"/>
    <w:rsid w:val="00287A60"/>
    <w:rsid w:val="002944E5"/>
    <w:rsid w:val="002A299D"/>
    <w:rsid w:val="002B175D"/>
    <w:rsid w:val="002D32D7"/>
    <w:rsid w:val="002D47A8"/>
    <w:rsid w:val="002E60C3"/>
    <w:rsid w:val="003034C1"/>
    <w:rsid w:val="00304A56"/>
    <w:rsid w:val="003246C6"/>
    <w:rsid w:val="00346A99"/>
    <w:rsid w:val="00351AE3"/>
    <w:rsid w:val="00363893"/>
    <w:rsid w:val="003653A6"/>
    <w:rsid w:val="00367E96"/>
    <w:rsid w:val="003A07A2"/>
    <w:rsid w:val="003A57A9"/>
    <w:rsid w:val="003A76F6"/>
    <w:rsid w:val="003D041F"/>
    <w:rsid w:val="003E7962"/>
    <w:rsid w:val="00405851"/>
    <w:rsid w:val="00406E51"/>
    <w:rsid w:val="00414556"/>
    <w:rsid w:val="0042770A"/>
    <w:rsid w:val="004407B5"/>
    <w:rsid w:val="00450E3B"/>
    <w:rsid w:val="0048412C"/>
    <w:rsid w:val="004A66D6"/>
    <w:rsid w:val="004B2F42"/>
    <w:rsid w:val="004C67BE"/>
    <w:rsid w:val="004D1E7A"/>
    <w:rsid w:val="004F39D3"/>
    <w:rsid w:val="004F5D4E"/>
    <w:rsid w:val="0050611C"/>
    <w:rsid w:val="005071CF"/>
    <w:rsid w:val="005107AF"/>
    <w:rsid w:val="00534B0D"/>
    <w:rsid w:val="00540C4E"/>
    <w:rsid w:val="0054566F"/>
    <w:rsid w:val="00564EA2"/>
    <w:rsid w:val="005968A0"/>
    <w:rsid w:val="005B7532"/>
    <w:rsid w:val="005C2626"/>
    <w:rsid w:val="005E178D"/>
    <w:rsid w:val="005E7956"/>
    <w:rsid w:val="005E7EE7"/>
    <w:rsid w:val="005F3EA1"/>
    <w:rsid w:val="00614A86"/>
    <w:rsid w:val="00642F62"/>
    <w:rsid w:val="00644047"/>
    <w:rsid w:val="00656762"/>
    <w:rsid w:val="00661034"/>
    <w:rsid w:val="006659C8"/>
    <w:rsid w:val="00670579"/>
    <w:rsid w:val="00672F35"/>
    <w:rsid w:val="00674F44"/>
    <w:rsid w:val="006A4519"/>
    <w:rsid w:val="006E3673"/>
    <w:rsid w:val="006F2EA5"/>
    <w:rsid w:val="00722BED"/>
    <w:rsid w:val="00730799"/>
    <w:rsid w:val="00736432"/>
    <w:rsid w:val="00737F5F"/>
    <w:rsid w:val="00743DFB"/>
    <w:rsid w:val="00765432"/>
    <w:rsid w:val="0078153A"/>
    <w:rsid w:val="00784B35"/>
    <w:rsid w:val="007A16A1"/>
    <w:rsid w:val="007A1D0F"/>
    <w:rsid w:val="007C03D4"/>
    <w:rsid w:val="007C08A0"/>
    <w:rsid w:val="007F1A2F"/>
    <w:rsid w:val="00802D2C"/>
    <w:rsid w:val="00806E34"/>
    <w:rsid w:val="00811154"/>
    <w:rsid w:val="008725D3"/>
    <w:rsid w:val="008A40DA"/>
    <w:rsid w:val="008B072C"/>
    <w:rsid w:val="008B0EAB"/>
    <w:rsid w:val="008B7A66"/>
    <w:rsid w:val="008C0403"/>
    <w:rsid w:val="008C16CB"/>
    <w:rsid w:val="008C4F87"/>
    <w:rsid w:val="008D45ED"/>
    <w:rsid w:val="008E31E3"/>
    <w:rsid w:val="008F0802"/>
    <w:rsid w:val="008F79A9"/>
    <w:rsid w:val="00912A60"/>
    <w:rsid w:val="00914EE3"/>
    <w:rsid w:val="00966B69"/>
    <w:rsid w:val="00966B7C"/>
    <w:rsid w:val="00976E46"/>
    <w:rsid w:val="009A421B"/>
    <w:rsid w:val="009A6B3D"/>
    <w:rsid w:val="009C05D0"/>
    <w:rsid w:val="009C0F85"/>
    <w:rsid w:val="009C2CB5"/>
    <w:rsid w:val="009D1909"/>
    <w:rsid w:val="009D2E35"/>
    <w:rsid w:val="009D70E7"/>
    <w:rsid w:val="009F4637"/>
    <w:rsid w:val="009F6BB0"/>
    <w:rsid w:val="00A04A80"/>
    <w:rsid w:val="00A14800"/>
    <w:rsid w:val="00A24D4D"/>
    <w:rsid w:val="00A35C67"/>
    <w:rsid w:val="00A37FF9"/>
    <w:rsid w:val="00A51794"/>
    <w:rsid w:val="00A51B9E"/>
    <w:rsid w:val="00A63BAC"/>
    <w:rsid w:val="00A65001"/>
    <w:rsid w:val="00A71006"/>
    <w:rsid w:val="00A810EA"/>
    <w:rsid w:val="00A84943"/>
    <w:rsid w:val="00A96A96"/>
    <w:rsid w:val="00AB0AF7"/>
    <w:rsid w:val="00AB1087"/>
    <w:rsid w:val="00AB71B7"/>
    <w:rsid w:val="00AB79B8"/>
    <w:rsid w:val="00AC1080"/>
    <w:rsid w:val="00AD31CC"/>
    <w:rsid w:val="00AE6826"/>
    <w:rsid w:val="00B012C7"/>
    <w:rsid w:val="00B01AF8"/>
    <w:rsid w:val="00B022E7"/>
    <w:rsid w:val="00B07419"/>
    <w:rsid w:val="00B07830"/>
    <w:rsid w:val="00B07AD8"/>
    <w:rsid w:val="00B34B5D"/>
    <w:rsid w:val="00B46286"/>
    <w:rsid w:val="00B512CB"/>
    <w:rsid w:val="00B66F88"/>
    <w:rsid w:val="00B73B29"/>
    <w:rsid w:val="00B76B47"/>
    <w:rsid w:val="00BA75EB"/>
    <w:rsid w:val="00BD01D6"/>
    <w:rsid w:val="00BD32FC"/>
    <w:rsid w:val="00BD4A40"/>
    <w:rsid w:val="00BD5886"/>
    <w:rsid w:val="00BE1981"/>
    <w:rsid w:val="00BE53ED"/>
    <w:rsid w:val="00BF1F63"/>
    <w:rsid w:val="00C00317"/>
    <w:rsid w:val="00C04B05"/>
    <w:rsid w:val="00C13379"/>
    <w:rsid w:val="00C13AD2"/>
    <w:rsid w:val="00C21815"/>
    <w:rsid w:val="00C50DB4"/>
    <w:rsid w:val="00C867F2"/>
    <w:rsid w:val="00C86C3D"/>
    <w:rsid w:val="00C932E7"/>
    <w:rsid w:val="00C94ED7"/>
    <w:rsid w:val="00C967AB"/>
    <w:rsid w:val="00CC34B0"/>
    <w:rsid w:val="00CD17C5"/>
    <w:rsid w:val="00CF0566"/>
    <w:rsid w:val="00D07671"/>
    <w:rsid w:val="00D113DF"/>
    <w:rsid w:val="00D157AD"/>
    <w:rsid w:val="00D32627"/>
    <w:rsid w:val="00D36697"/>
    <w:rsid w:val="00D54507"/>
    <w:rsid w:val="00D56EF4"/>
    <w:rsid w:val="00D637C6"/>
    <w:rsid w:val="00D7092B"/>
    <w:rsid w:val="00D767A5"/>
    <w:rsid w:val="00DA27EB"/>
    <w:rsid w:val="00DA3EE6"/>
    <w:rsid w:val="00DA78CE"/>
    <w:rsid w:val="00DB592D"/>
    <w:rsid w:val="00DB62E4"/>
    <w:rsid w:val="00DB717F"/>
    <w:rsid w:val="00DD3A0C"/>
    <w:rsid w:val="00DE4E00"/>
    <w:rsid w:val="00E13461"/>
    <w:rsid w:val="00E134BE"/>
    <w:rsid w:val="00E2311B"/>
    <w:rsid w:val="00E32853"/>
    <w:rsid w:val="00E37903"/>
    <w:rsid w:val="00E404C4"/>
    <w:rsid w:val="00E5767D"/>
    <w:rsid w:val="00E82EFC"/>
    <w:rsid w:val="00E908BF"/>
    <w:rsid w:val="00EA0F81"/>
    <w:rsid w:val="00ED7CB3"/>
    <w:rsid w:val="00EE3A1C"/>
    <w:rsid w:val="00F07E54"/>
    <w:rsid w:val="00F106E9"/>
    <w:rsid w:val="00F12A6C"/>
    <w:rsid w:val="00F13EB6"/>
    <w:rsid w:val="00F16C5D"/>
    <w:rsid w:val="00F23F0F"/>
    <w:rsid w:val="00F43F74"/>
    <w:rsid w:val="00F5049B"/>
    <w:rsid w:val="00F60707"/>
    <w:rsid w:val="00F72BE1"/>
    <w:rsid w:val="00F72EA5"/>
    <w:rsid w:val="00F75ACF"/>
    <w:rsid w:val="00F771E3"/>
    <w:rsid w:val="00F93466"/>
    <w:rsid w:val="00FB3E4C"/>
    <w:rsid w:val="00FB77CF"/>
    <w:rsid w:val="00FD22B3"/>
    <w:rsid w:val="02DC269E"/>
    <w:rsid w:val="082007EF"/>
    <w:rsid w:val="08583369"/>
    <w:rsid w:val="08FA5184"/>
    <w:rsid w:val="0A3208AE"/>
    <w:rsid w:val="0C285C6C"/>
    <w:rsid w:val="10524C52"/>
    <w:rsid w:val="111B3A42"/>
    <w:rsid w:val="11CC748C"/>
    <w:rsid w:val="1235687D"/>
    <w:rsid w:val="130C48FD"/>
    <w:rsid w:val="150F2359"/>
    <w:rsid w:val="151267AE"/>
    <w:rsid w:val="17CB164E"/>
    <w:rsid w:val="17FA5E59"/>
    <w:rsid w:val="19847DE1"/>
    <w:rsid w:val="19A54BF8"/>
    <w:rsid w:val="1A0D279E"/>
    <w:rsid w:val="1B62634B"/>
    <w:rsid w:val="1BA027E4"/>
    <w:rsid w:val="1C2E55F2"/>
    <w:rsid w:val="1CA95F16"/>
    <w:rsid w:val="1CD55BEB"/>
    <w:rsid w:val="1D937A43"/>
    <w:rsid w:val="1F1E5314"/>
    <w:rsid w:val="20752433"/>
    <w:rsid w:val="20C4453B"/>
    <w:rsid w:val="22FB1C84"/>
    <w:rsid w:val="23723C25"/>
    <w:rsid w:val="246907E1"/>
    <w:rsid w:val="2753231C"/>
    <w:rsid w:val="27AC3E59"/>
    <w:rsid w:val="28707A6F"/>
    <w:rsid w:val="29230141"/>
    <w:rsid w:val="29CE0ABC"/>
    <w:rsid w:val="2ADA1047"/>
    <w:rsid w:val="2D6A0964"/>
    <w:rsid w:val="2E1E1E61"/>
    <w:rsid w:val="2F0F103A"/>
    <w:rsid w:val="30221577"/>
    <w:rsid w:val="3054441E"/>
    <w:rsid w:val="30C85DA1"/>
    <w:rsid w:val="31026C80"/>
    <w:rsid w:val="31B529E8"/>
    <w:rsid w:val="34097B94"/>
    <w:rsid w:val="35C65378"/>
    <w:rsid w:val="360769AF"/>
    <w:rsid w:val="36350803"/>
    <w:rsid w:val="39B63E9B"/>
    <w:rsid w:val="39CE1B14"/>
    <w:rsid w:val="3A665D48"/>
    <w:rsid w:val="3B2E58ED"/>
    <w:rsid w:val="3C34071C"/>
    <w:rsid w:val="3CD847AC"/>
    <w:rsid w:val="3D380954"/>
    <w:rsid w:val="3DE36FEC"/>
    <w:rsid w:val="3E2F6B99"/>
    <w:rsid w:val="3EA1684F"/>
    <w:rsid w:val="3EF87E33"/>
    <w:rsid w:val="3F3B2A43"/>
    <w:rsid w:val="3F7805F0"/>
    <w:rsid w:val="3FCD4DEB"/>
    <w:rsid w:val="40C260EC"/>
    <w:rsid w:val="40C6191F"/>
    <w:rsid w:val="420D58FC"/>
    <w:rsid w:val="431D2EA3"/>
    <w:rsid w:val="438C448F"/>
    <w:rsid w:val="43C809EB"/>
    <w:rsid w:val="44E74FD9"/>
    <w:rsid w:val="461566C0"/>
    <w:rsid w:val="4630091A"/>
    <w:rsid w:val="46D60AB1"/>
    <w:rsid w:val="4B5636F8"/>
    <w:rsid w:val="4C1956B5"/>
    <w:rsid w:val="4C253CAD"/>
    <w:rsid w:val="4DEF7A5E"/>
    <w:rsid w:val="50B12A27"/>
    <w:rsid w:val="50EF730D"/>
    <w:rsid w:val="56BE43BD"/>
    <w:rsid w:val="583A4E9F"/>
    <w:rsid w:val="588418A2"/>
    <w:rsid w:val="58996A83"/>
    <w:rsid w:val="59C351D0"/>
    <w:rsid w:val="5AC31FAD"/>
    <w:rsid w:val="5CD61E4E"/>
    <w:rsid w:val="5DE51034"/>
    <w:rsid w:val="5E1847C8"/>
    <w:rsid w:val="5E6463FD"/>
    <w:rsid w:val="602C48EF"/>
    <w:rsid w:val="624C1DD7"/>
    <w:rsid w:val="638F4D8A"/>
    <w:rsid w:val="64C77B52"/>
    <w:rsid w:val="65C40DE9"/>
    <w:rsid w:val="662B2FED"/>
    <w:rsid w:val="66C32A66"/>
    <w:rsid w:val="66E27C95"/>
    <w:rsid w:val="679C56C6"/>
    <w:rsid w:val="6B3B167F"/>
    <w:rsid w:val="6D2A69AC"/>
    <w:rsid w:val="6D7A5576"/>
    <w:rsid w:val="6DCF48A6"/>
    <w:rsid w:val="6E8B3663"/>
    <w:rsid w:val="6ECD1506"/>
    <w:rsid w:val="6EE23F5C"/>
    <w:rsid w:val="6F326EF5"/>
    <w:rsid w:val="6FCA28C4"/>
    <w:rsid w:val="712C79BF"/>
    <w:rsid w:val="72A46C50"/>
    <w:rsid w:val="740A4EF9"/>
    <w:rsid w:val="7479322E"/>
    <w:rsid w:val="762925E9"/>
    <w:rsid w:val="77807966"/>
    <w:rsid w:val="790F39F3"/>
    <w:rsid w:val="792C3545"/>
    <w:rsid w:val="79E70D0C"/>
    <w:rsid w:val="7B1D60A0"/>
    <w:rsid w:val="7B7C3320"/>
    <w:rsid w:val="7BBE7A29"/>
    <w:rsid w:val="7C6F7CE7"/>
    <w:rsid w:val="7D4078A9"/>
    <w:rsid w:val="7E000A17"/>
    <w:rsid w:val="7E7D503B"/>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annotation text"/>
    <w:basedOn w:val="1"/>
    <w:link w:val="17"/>
    <w:autoRedefine/>
    <w:semiHidden/>
    <w:unhideWhenUsed/>
    <w:qFormat/>
    <w:uiPriority w:val="99"/>
    <w:pPr>
      <w:jc w:val="left"/>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semiHidden/>
    <w:unhideWhenUsed/>
    <w:qFormat/>
    <w:uiPriority w:val="99"/>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paragraph" w:customStyle="1" w:styleId="12">
    <w:name w:val="列表段落1"/>
    <w:basedOn w:val="1"/>
    <w:autoRedefine/>
    <w:unhideWhenUsed/>
    <w:qFormat/>
    <w:uiPriority w:val="99"/>
    <w:pPr>
      <w:ind w:firstLine="420" w:firstLineChars="200"/>
    </w:pPr>
    <w:rPr>
      <w:szCs w:val="24"/>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批注框文本 字符"/>
    <w:basedOn w:val="10"/>
    <w:link w:val="4"/>
    <w:autoRedefine/>
    <w:semiHidden/>
    <w:qFormat/>
    <w:uiPriority w:val="99"/>
    <w:rPr>
      <w:kern w:val="2"/>
      <w:sz w:val="18"/>
      <w:szCs w:val="18"/>
    </w:rPr>
  </w:style>
  <w:style w:type="paragraph" w:customStyle="1" w:styleId="1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10"/>
    <w:link w:val="3"/>
    <w:autoRedefine/>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7"/>
    <w:autoRedefine/>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yn</Company>
  <Pages>4</Pages>
  <Words>345</Words>
  <Characters>1972</Characters>
  <Lines>16</Lines>
  <Paragraphs>4</Paragraphs>
  <TotalTime>0</TotalTime>
  <ScaleCrop>false</ScaleCrop>
  <LinksUpToDate>false</LinksUpToDate>
  <CharactersWithSpaces>2313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2024-02-20T12:19:00Z</dcterms:created>
  <dc:creator>王立志</dc:creator>
  <cp:lastModifiedBy>请叫我里维</cp:lastModifiedBy>
  <cp:lastPrinted>2020-11-24T00:57:00Z</cp:lastPrinted>
  <dcterms:modified xsi:type="dcterms:W3CDTF">2024-02-21T07:22:39Z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1D304BE478A14138B5B119CA0D38E649_13</vt:lpwstr>
  </property>
  <property fmtid="{D5CDD505-2E9C-101B-9397-08002B2CF9AE}" pid="4" name="KSOSaveFontToCloudKey">
    <vt:lpwstr>500278962_cloud</vt:lpwstr>
  </property>
</Properties>
</file>